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A2872" w:rsidRDefault="000C2C64" w:rsidP="006A15E8">
      <w:pPr>
        <w:tabs>
          <w:tab w:val="left" w:pos="8664"/>
        </w:tabs>
        <w:jc w:val="center"/>
      </w:pPr>
      <w:r>
        <w:object w:dxaOrig="8773" w:dyaOrig="64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1.65pt;height:427.75pt" o:ole="">
            <v:imagedata r:id="rId8" o:title=""/>
          </v:shape>
          <o:OLEObject Type="Embed" ProgID="Visio.Drawing.11" ShapeID="_x0000_i1025" DrawAspect="Content" ObjectID="_1474630671" r:id="rId9"/>
        </w:object>
      </w:r>
    </w:p>
    <w:p w:rsidR="001B21BC" w:rsidRPr="003A1FB9" w:rsidRDefault="00EA2872" w:rsidP="008C5F1E">
      <w:pPr>
        <w:tabs>
          <w:tab w:val="left" w:pos="8664"/>
        </w:tabs>
        <w:jc w:val="center"/>
        <w:rPr>
          <w:rFonts w:ascii="Arial" w:hAnsi="Arial" w:cs="Arial"/>
          <w:b/>
        </w:rPr>
      </w:pPr>
      <w:r>
        <w:br w:type="page"/>
      </w:r>
      <w:r w:rsidR="003A1FB9" w:rsidRPr="003A1FB9">
        <w:rPr>
          <w:rFonts w:ascii="Arial" w:hAnsi="Arial" w:cs="Arial"/>
          <w:b/>
        </w:rPr>
        <w:lastRenderedPageBreak/>
        <w:t>DESCRIPCIÓN DE LA INTERACCIÓN DE LOS PROCESOS.</w:t>
      </w:r>
    </w:p>
    <w:p w:rsidR="006E630A" w:rsidRPr="003A1FB9" w:rsidRDefault="006E630A" w:rsidP="008C5F1E">
      <w:pPr>
        <w:tabs>
          <w:tab w:val="left" w:pos="8664"/>
        </w:tabs>
        <w:jc w:val="center"/>
        <w:rPr>
          <w:rFonts w:ascii="Arial" w:hAnsi="Arial" w:cs="Arial"/>
          <w:b/>
        </w:rPr>
      </w:pPr>
    </w:p>
    <w:p w:rsidR="005A4D36" w:rsidRPr="003A1FB9" w:rsidRDefault="005A4D36" w:rsidP="005A4D36">
      <w:pPr>
        <w:autoSpaceDE w:val="0"/>
        <w:autoSpaceDN w:val="0"/>
        <w:adjustRightInd w:val="0"/>
        <w:jc w:val="both"/>
        <w:rPr>
          <w:rFonts w:ascii="Arial" w:hAnsi="Arial" w:cs="Arial"/>
        </w:rPr>
      </w:pPr>
      <w:r w:rsidRPr="003A1FB9">
        <w:rPr>
          <w:rFonts w:ascii="Arial" w:hAnsi="Arial" w:cs="Arial"/>
        </w:rPr>
        <w:t xml:space="preserve">Para mostrar la Interacción de los procesos se muestra la representación de los procesos estratégicos en el mapa de procesos, en donde se representa la relación de las actividades que se realizan en la institución, ilustrando la interacción </w:t>
      </w:r>
      <w:r w:rsidR="005575CB" w:rsidRPr="003A1FB9">
        <w:rPr>
          <w:rFonts w:ascii="Arial" w:hAnsi="Arial" w:cs="Arial"/>
        </w:rPr>
        <w:t>entre procesos y actividades, có</w:t>
      </w:r>
      <w:r w:rsidRPr="003A1FB9">
        <w:rPr>
          <w:rFonts w:ascii="Arial" w:hAnsi="Arial" w:cs="Arial"/>
        </w:rPr>
        <w:t>mo algunas de estas se encuentran insertas participando en otro proceso, en el segundo de ellos se atiende a la concentración de los contenidos en cada proceso, de tal forma que se muestre la interconexión entre ellos en un enfoque sistémico.</w:t>
      </w:r>
    </w:p>
    <w:p w:rsidR="005A4D36" w:rsidRPr="003A1FB9" w:rsidRDefault="005A4D36" w:rsidP="005A4D36">
      <w:pPr>
        <w:autoSpaceDE w:val="0"/>
        <w:autoSpaceDN w:val="0"/>
        <w:adjustRightInd w:val="0"/>
        <w:jc w:val="both"/>
        <w:rPr>
          <w:rFonts w:ascii="Arial" w:hAnsi="Arial" w:cs="Arial"/>
        </w:rPr>
      </w:pPr>
      <w:r w:rsidRPr="003A1FB9">
        <w:rPr>
          <w:rFonts w:ascii="Arial" w:hAnsi="Arial" w:cs="Arial"/>
        </w:rPr>
        <w:t>Los procesos estratégicos definidos son los siguientes:</w:t>
      </w:r>
    </w:p>
    <w:p w:rsidR="005A4D36" w:rsidRPr="003A1FB9" w:rsidRDefault="005A4D36" w:rsidP="005A4D36">
      <w:pPr>
        <w:autoSpaceDE w:val="0"/>
        <w:autoSpaceDN w:val="0"/>
        <w:adjustRightInd w:val="0"/>
        <w:jc w:val="both"/>
        <w:rPr>
          <w:rFonts w:ascii="Arial" w:hAnsi="Arial" w:cs="Arial"/>
        </w:rPr>
      </w:pPr>
    </w:p>
    <w:p w:rsidR="005A4D36" w:rsidRPr="003A1FB9" w:rsidRDefault="005A4D36" w:rsidP="003A1FB9">
      <w:pPr>
        <w:pStyle w:val="Prrafodelista"/>
        <w:numPr>
          <w:ilvl w:val="0"/>
          <w:numId w:val="14"/>
        </w:numPr>
        <w:autoSpaceDE w:val="0"/>
        <w:autoSpaceDN w:val="0"/>
        <w:adjustRightInd w:val="0"/>
        <w:ind w:left="3540"/>
        <w:jc w:val="both"/>
        <w:rPr>
          <w:rFonts w:ascii="Arial" w:hAnsi="Arial" w:cs="Arial"/>
        </w:rPr>
      </w:pPr>
      <w:r w:rsidRPr="003A1FB9">
        <w:rPr>
          <w:rFonts w:ascii="Arial" w:hAnsi="Arial" w:cs="Arial"/>
        </w:rPr>
        <w:t>Académico</w:t>
      </w:r>
    </w:p>
    <w:p w:rsidR="005A4D36" w:rsidRPr="003A1FB9" w:rsidRDefault="005A4D36" w:rsidP="003A1FB9">
      <w:pPr>
        <w:pStyle w:val="Prrafodelista"/>
        <w:numPr>
          <w:ilvl w:val="0"/>
          <w:numId w:val="14"/>
        </w:numPr>
        <w:autoSpaceDE w:val="0"/>
        <w:autoSpaceDN w:val="0"/>
        <w:adjustRightInd w:val="0"/>
        <w:ind w:left="3540"/>
        <w:jc w:val="both"/>
        <w:rPr>
          <w:rFonts w:ascii="Arial" w:hAnsi="Arial" w:cs="Arial"/>
        </w:rPr>
      </w:pPr>
      <w:r w:rsidRPr="003A1FB9">
        <w:rPr>
          <w:rFonts w:ascii="Arial" w:hAnsi="Arial" w:cs="Arial"/>
        </w:rPr>
        <w:t>Planeación</w:t>
      </w:r>
    </w:p>
    <w:p w:rsidR="005A4D36" w:rsidRPr="003A1FB9" w:rsidRDefault="005A4D36" w:rsidP="003A1FB9">
      <w:pPr>
        <w:pStyle w:val="Prrafodelista"/>
        <w:numPr>
          <w:ilvl w:val="0"/>
          <w:numId w:val="14"/>
        </w:numPr>
        <w:autoSpaceDE w:val="0"/>
        <w:autoSpaceDN w:val="0"/>
        <w:adjustRightInd w:val="0"/>
        <w:ind w:left="3540"/>
        <w:jc w:val="both"/>
        <w:rPr>
          <w:rFonts w:ascii="Arial" w:hAnsi="Arial" w:cs="Arial"/>
        </w:rPr>
      </w:pPr>
      <w:r w:rsidRPr="003A1FB9">
        <w:rPr>
          <w:rFonts w:ascii="Arial" w:hAnsi="Arial" w:cs="Arial"/>
        </w:rPr>
        <w:t>Vinculación</w:t>
      </w:r>
    </w:p>
    <w:p w:rsidR="005A4D36" w:rsidRPr="003A1FB9" w:rsidRDefault="005A4D36" w:rsidP="003A1FB9">
      <w:pPr>
        <w:pStyle w:val="Prrafodelista"/>
        <w:numPr>
          <w:ilvl w:val="0"/>
          <w:numId w:val="14"/>
        </w:numPr>
        <w:autoSpaceDE w:val="0"/>
        <w:autoSpaceDN w:val="0"/>
        <w:adjustRightInd w:val="0"/>
        <w:ind w:left="3540"/>
        <w:jc w:val="both"/>
        <w:rPr>
          <w:rFonts w:ascii="Arial" w:hAnsi="Arial" w:cs="Arial"/>
        </w:rPr>
      </w:pPr>
      <w:r w:rsidRPr="003A1FB9">
        <w:rPr>
          <w:rFonts w:ascii="Arial" w:hAnsi="Arial" w:cs="Arial"/>
        </w:rPr>
        <w:t>Administración de los Recursos</w:t>
      </w:r>
    </w:p>
    <w:p w:rsidR="005A4D36" w:rsidRPr="003A1FB9" w:rsidRDefault="005A4D36" w:rsidP="003A1FB9">
      <w:pPr>
        <w:pStyle w:val="Prrafodelista"/>
        <w:numPr>
          <w:ilvl w:val="0"/>
          <w:numId w:val="14"/>
        </w:numPr>
        <w:autoSpaceDE w:val="0"/>
        <w:autoSpaceDN w:val="0"/>
        <w:adjustRightInd w:val="0"/>
        <w:ind w:left="3540"/>
        <w:jc w:val="both"/>
        <w:rPr>
          <w:rFonts w:ascii="Arial" w:hAnsi="Arial" w:cs="Arial"/>
        </w:rPr>
      </w:pPr>
      <w:r w:rsidRPr="003A1FB9">
        <w:rPr>
          <w:rFonts w:ascii="Arial" w:hAnsi="Arial" w:cs="Arial"/>
        </w:rPr>
        <w:t>Calidad</w:t>
      </w:r>
    </w:p>
    <w:p w:rsidR="005A4D36" w:rsidRPr="003A1FB9" w:rsidRDefault="005A4D36" w:rsidP="003A1FB9">
      <w:pPr>
        <w:pStyle w:val="Prrafodelista"/>
        <w:autoSpaceDE w:val="0"/>
        <w:autoSpaceDN w:val="0"/>
        <w:adjustRightInd w:val="0"/>
        <w:ind w:left="5619"/>
        <w:jc w:val="both"/>
        <w:rPr>
          <w:rFonts w:ascii="Arial" w:hAnsi="Arial" w:cs="Arial"/>
        </w:rPr>
      </w:pPr>
    </w:p>
    <w:p w:rsidR="006E630A" w:rsidRPr="003A1FB9" w:rsidRDefault="006E630A" w:rsidP="003A1FB9">
      <w:pPr>
        <w:pStyle w:val="Prrafodelista"/>
        <w:autoSpaceDE w:val="0"/>
        <w:autoSpaceDN w:val="0"/>
        <w:adjustRightInd w:val="0"/>
        <w:ind w:left="5619"/>
        <w:jc w:val="both"/>
        <w:rPr>
          <w:rFonts w:ascii="Arial" w:hAnsi="Arial" w:cs="Arial"/>
        </w:rPr>
      </w:pPr>
    </w:p>
    <w:p w:rsidR="005A4D36" w:rsidRPr="003A1FB9" w:rsidRDefault="005A4D36" w:rsidP="005A4D36">
      <w:pPr>
        <w:autoSpaceDE w:val="0"/>
        <w:autoSpaceDN w:val="0"/>
        <w:adjustRightInd w:val="0"/>
        <w:jc w:val="both"/>
        <w:rPr>
          <w:rFonts w:ascii="Arial" w:hAnsi="Arial" w:cs="Arial"/>
          <w:b/>
        </w:rPr>
      </w:pPr>
      <w:r w:rsidRPr="003A1FB9">
        <w:rPr>
          <w:rFonts w:ascii="Arial" w:hAnsi="Arial" w:cs="Arial"/>
          <w:b/>
        </w:rPr>
        <w:t>Requisitos del Cliente.</w:t>
      </w:r>
    </w:p>
    <w:p w:rsidR="006E630A" w:rsidRPr="003A1FB9" w:rsidRDefault="006E630A" w:rsidP="005A4D36">
      <w:pPr>
        <w:autoSpaceDE w:val="0"/>
        <w:autoSpaceDN w:val="0"/>
        <w:adjustRightInd w:val="0"/>
        <w:jc w:val="both"/>
        <w:rPr>
          <w:rFonts w:ascii="Arial" w:hAnsi="Arial" w:cs="Arial"/>
          <w:b/>
        </w:rPr>
      </w:pPr>
    </w:p>
    <w:p w:rsidR="005A4D36" w:rsidRPr="003A1FB9" w:rsidRDefault="005A4D36" w:rsidP="005A4D36">
      <w:pPr>
        <w:autoSpaceDE w:val="0"/>
        <w:autoSpaceDN w:val="0"/>
        <w:adjustRightInd w:val="0"/>
        <w:jc w:val="both"/>
        <w:rPr>
          <w:rFonts w:ascii="Arial" w:hAnsi="Arial" w:cs="Arial"/>
        </w:rPr>
      </w:pPr>
      <w:r w:rsidRPr="003A1FB9">
        <w:rPr>
          <w:rFonts w:ascii="Arial" w:hAnsi="Arial" w:cs="Arial"/>
        </w:rPr>
        <w:t>La entrada del Proceso educativo son los requisitos del cliente, los cuales son definidos por el Instituto respondiendo a un Programa Nacional de Educación Superior establecido por la propia Secretaría de Educación Pública. El Alumno definido como el cliente, selecciona el plan de estudios que desea cursar, de esta manera sus requisitos quedan definidos por su elección.</w:t>
      </w:r>
    </w:p>
    <w:p w:rsidR="00F75AC1" w:rsidRPr="003A1FB9" w:rsidRDefault="001B21BC" w:rsidP="002A0318">
      <w:pPr>
        <w:tabs>
          <w:tab w:val="left" w:pos="8664"/>
        </w:tabs>
        <w:jc w:val="both"/>
        <w:rPr>
          <w:rFonts w:ascii="Arial" w:hAnsi="Arial" w:cs="Arial"/>
        </w:rPr>
      </w:pPr>
      <w:r w:rsidRPr="003A1FB9">
        <w:rPr>
          <w:rFonts w:ascii="Arial" w:hAnsi="Arial" w:cs="Arial"/>
        </w:rPr>
        <w:t xml:space="preserve">La nomenclatura  de </w:t>
      </w:r>
      <w:r w:rsidRPr="003A1FB9">
        <w:rPr>
          <w:rFonts w:ascii="Arial" w:hAnsi="Arial" w:cs="Arial"/>
          <w:b/>
        </w:rPr>
        <w:t xml:space="preserve">Procesos Estratégicos en el SGC </w:t>
      </w:r>
      <w:r w:rsidRPr="003A1FB9">
        <w:rPr>
          <w:rFonts w:ascii="Arial" w:hAnsi="Arial" w:cs="Arial"/>
        </w:rPr>
        <w:t xml:space="preserve">(los cinco en los cuales se divide el Proceso Educativo) </w:t>
      </w:r>
      <w:r w:rsidRPr="003A1FB9">
        <w:rPr>
          <w:rFonts w:ascii="Arial" w:hAnsi="Arial" w:cs="Arial"/>
          <w:b/>
        </w:rPr>
        <w:t>del instituto</w:t>
      </w:r>
      <w:r w:rsidRPr="003A1FB9">
        <w:rPr>
          <w:rFonts w:ascii="Arial" w:hAnsi="Arial" w:cs="Arial"/>
        </w:rPr>
        <w:t xml:space="preserve"> deriva del modelo</w:t>
      </w:r>
      <w:r w:rsidR="005A4D36" w:rsidRPr="003A1FB9">
        <w:rPr>
          <w:rFonts w:ascii="Arial" w:hAnsi="Arial" w:cs="Arial"/>
        </w:rPr>
        <w:t xml:space="preserve"> </w:t>
      </w:r>
      <w:r w:rsidRPr="003A1FB9">
        <w:rPr>
          <w:rFonts w:ascii="Arial" w:hAnsi="Arial" w:cs="Arial"/>
        </w:rPr>
        <w:t xml:space="preserve">educativo para el siglo XXI que es un instrumento rector de los Institutos Tecnológicos emanado de la Dirección General de Educación Superior Tecnológica (DGEST).  Los procesos de realización del Servicio educativo son los Procesos estratégicos Académico y de Vinculación y los Procesos Estratégicos  </w:t>
      </w:r>
      <w:r w:rsidR="00F75AC1" w:rsidRPr="003A1FB9">
        <w:rPr>
          <w:rFonts w:ascii="Arial" w:hAnsi="Arial" w:cs="Arial"/>
        </w:rPr>
        <w:t xml:space="preserve">de administración de recursos, de planeación y de calidad son procesos soporte para los de realización del servicio educativo y complementan el SGC en lo que se refiere a recursos, </w:t>
      </w:r>
      <w:r w:rsidR="000C2C64" w:rsidRPr="003A1FB9">
        <w:rPr>
          <w:rFonts w:ascii="Arial" w:hAnsi="Arial" w:cs="Arial"/>
        </w:rPr>
        <w:t>documentación</w:t>
      </w:r>
      <w:r w:rsidR="00D2732F" w:rsidRPr="003A1FB9">
        <w:rPr>
          <w:rFonts w:ascii="Arial" w:hAnsi="Arial" w:cs="Arial"/>
        </w:rPr>
        <w:t xml:space="preserve">, </w:t>
      </w:r>
      <w:r w:rsidR="00F75AC1" w:rsidRPr="003A1FB9">
        <w:rPr>
          <w:rFonts w:ascii="Arial" w:hAnsi="Arial" w:cs="Arial"/>
        </w:rPr>
        <w:t>medición análisis y mejora.</w:t>
      </w:r>
      <w:r w:rsidR="002A0318" w:rsidRPr="003A1FB9">
        <w:rPr>
          <w:rFonts w:ascii="Arial" w:hAnsi="Arial" w:cs="Arial"/>
        </w:rPr>
        <w:t xml:space="preserve"> </w:t>
      </w:r>
      <w:r w:rsidRPr="003A1FB9">
        <w:rPr>
          <w:rFonts w:ascii="Arial" w:hAnsi="Arial" w:cs="Arial"/>
        </w:rPr>
        <w:t>La interacción entre estos cinco procesos estratégico</w:t>
      </w:r>
      <w:r w:rsidR="00D2732F" w:rsidRPr="003A1FB9">
        <w:rPr>
          <w:rFonts w:ascii="Arial" w:hAnsi="Arial" w:cs="Arial"/>
        </w:rPr>
        <w:t>s</w:t>
      </w:r>
      <w:r w:rsidRPr="003A1FB9">
        <w:rPr>
          <w:rFonts w:ascii="Arial" w:hAnsi="Arial" w:cs="Arial"/>
        </w:rPr>
        <w:t xml:space="preserve"> se muestra en la siguiente tabla</w:t>
      </w:r>
      <w:r w:rsidR="002A0318" w:rsidRPr="003A1FB9">
        <w:rPr>
          <w:rFonts w:ascii="Arial" w:hAnsi="Arial" w:cs="Arial"/>
        </w:rPr>
        <w:t>:</w:t>
      </w:r>
    </w:p>
    <w:p w:rsidR="006E630A" w:rsidRPr="003A1FB9" w:rsidRDefault="006E630A" w:rsidP="002A0318">
      <w:pPr>
        <w:tabs>
          <w:tab w:val="left" w:pos="8664"/>
        </w:tabs>
        <w:jc w:val="both"/>
        <w:rPr>
          <w:rFonts w:ascii="Arial" w:hAnsi="Arial" w:cs="Arial"/>
        </w:rPr>
      </w:pPr>
    </w:p>
    <w:p w:rsidR="006E630A" w:rsidRPr="003A1FB9" w:rsidRDefault="006E630A" w:rsidP="002A0318">
      <w:pPr>
        <w:tabs>
          <w:tab w:val="left" w:pos="8664"/>
        </w:tabs>
        <w:jc w:val="both"/>
        <w:rPr>
          <w:rFonts w:ascii="Arial" w:hAnsi="Arial" w:cs="Arial"/>
        </w:rPr>
      </w:pPr>
    </w:p>
    <w:p w:rsidR="006E630A" w:rsidRDefault="006E630A" w:rsidP="002A0318">
      <w:pPr>
        <w:tabs>
          <w:tab w:val="left" w:pos="8664"/>
        </w:tabs>
        <w:jc w:val="both"/>
      </w:pPr>
    </w:p>
    <w:p w:rsidR="006E630A" w:rsidRDefault="006E630A" w:rsidP="002A0318">
      <w:pPr>
        <w:tabs>
          <w:tab w:val="left" w:pos="8664"/>
        </w:tabs>
        <w:jc w:val="both"/>
      </w:pPr>
    </w:p>
    <w:p w:rsidR="006E630A" w:rsidRDefault="006E630A" w:rsidP="002A0318">
      <w:pPr>
        <w:tabs>
          <w:tab w:val="left" w:pos="8664"/>
        </w:tabs>
        <w:jc w:val="both"/>
      </w:pPr>
    </w:p>
    <w:p w:rsidR="006E630A" w:rsidRDefault="006E630A" w:rsidP="002A0318">
      <w:pPr>
        <w:tabs>
          <w:tab w:val="left" w:pos="8664"/>
        </w:tabs>
        <w:jc w:val="both"/>
      </w:pPr>
    </w:p>
    <w:p w:rsidR="006E630A" w:rsidRDefault="006E630A" w:rsidP="002A0318">
      <w:pPr>
        <w:tabs>
          <w:tab w:val="left" w:pos="8664"/>
        </w:tabs>
        <w:jc w:val="both"/>
      </w:pPr>
    </w:p>
    <w:p w:rsidR="006E630A" w:rsidRDefault="006E630A" w:rsidP="002A0318">
      <w:pPr>
        <w:tabs>
          <w:tab w:val="left" w:pos="8664"/>
        </w:tabs>
        <w:jc w:val="both"/>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693"/>
        <w:gridCol w:w="2268"/>
        <w:gridCol w:w="2268"/>
        <w:gridCol w:w="2552"/>
        <w:gridCol w:w="2693"/>
      </w:tblGrid>
      <w:tr w:rsidR="00F75AC1" w:rsidRPr="00F75AC1" w:rsidTr="001A0DB0">
        <w:tc>
          <w:tcPr>
            <w:tcW w:w="2093" w:type="dxa"/>
            <w:tcBorders>
              <w:bottom w:val="single" w:sz="4" w:space="0" w:color="auto"/>
            </w:tcBorders>
            <w:shd w:val="pct70" w:color="92D050" w:fill="92D050"/>
          </w:tcPr>
          <w:p w:rsidR="00F75AC1" w:rsidRDefault="002C7966" w:rsidP="00E24FE8">
            <w:r>
              <w:rPr>
                <w:noProof/>
                <w:lang w:val="es-ES"/>
              </w:rPr>
              <mc:AlternateContent>
                <mc:Choice Requires="wps">
                  <w:drawing>
                    <wp:anchor distT="0" distB="0" distL="114300" distR="114300" simplePos="0" relativeHeight="251657728" behindDoc="0" locked="0" layoutInCell="1" allowOverlap="1">
                      <wp:simplePos x="0" y="0"/>
                      <wp:positionH relativeFrom="column">
                        <wp:posOffset>-71755</wp:posOffset>
                      </wp:positionH>
                      <wp:positionV relativeFrom="paragraph">
                        <wp:posOffset>-8255</wp:posOffset>
                      </wp:positionV>
                      <wp:extent cx="1323975" cy="361950"/>
                      <wp:effectExtent l="17145" t="17145" r="30480" b="273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2" o:spid="_x0000_s1026" type="#_x0000_t32" style="position:absolute;margin-left:-5.6pt;margin-top:-.6pt;width:104.2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v7HxyQCAABABAAADgAAAGRycy9lMm9Eb2MueG1srFPbjtowEH2v1H+w/M7mQmAhIqxWAfqybZF2&#10;+wHGdhKrjm3ZhoCq/nvH5iK2famq8mDGmZkzZ2aOF0/HXqIDt05oVeHsIcWIK6qZUG2Fv71tRjOM&#10;nCeKEakVr/CJO/y0/PhhMZiS57rTknGLAES5cjAV7rw3ZZI42vGeuAdtuAJno21PPFxtmzBLBkDv&#10;ZZKn6TQZtGXGasqdg6+rsxMvI37TcOq/No3jHskKAzcfTxvPXTiT5YKUrSWmE/RCg/wDi54IBUVv&#10;UCviCdpb8QdUL6jVTjf+geo+0U0jKI89QDdZ+ls3rx0xPPYCw3HmNib3/2Dpl8PWIsEqnGOkSA8r&#10;et57HSujPIxnMK6EqFptbWiQHtWredH0u0NK1x1RLY/BbycDuVnISN6lhIszUGQ3fNYMYgjgx1kd&#10;G9sHSJgCOsaVnG4r4UePKHzMxvl4/jjBiIJvPM3mk7izhJTXbGOd/8R1j4JRYectEW3na60UbF/b&#10;LNYihxfnAzdSXhNCaaU3QsooAqnQUOH5JJ/EBKelYMEZwpxtd7W06ECCjOIvNgqe+zCr94pFsI4T&#10;tr7Yngh5tqG4VAEPugM6F+uskx/zdL6erWfFqMin61GRMjZ63tTFaLrJHier8aquV9nPQC0ryk4w&#10;xlVgd9VsVvydJi6v56y2m2pvY0jeo8d5AdnrfyQd1xs2etbGTrPT1l7XDjKNwZcnFd7B/R3s+4e/&#10;/AUAAP//AwBQSwMEFAAGAAgAAAAhAHaBKUbeAAAACQEAAA8AAABkcnMvZG93bnJldi54bWxMj8FO&#10;wzAMhu9IvENkJC5oS1tU2Lqm04TEgSPbJK5eY9qOxqmadC17etITO9mWP/3+nG8n04oL9a6xrCBe&#10;RiCIS6sbrhQcD++LFQjnkTW2lknBLznYFvd3OWbajvxJl72vRAhhl6GC2vsuk9KVNRl0S9sRh923&#10;7Q36MPaV1D2OIdy0MomiF2mw4XChxo7eaip/9oNRQG5I42i3NtXx4zo+fSXX89gdlHp8mHYbEJ4m&#10;/w/DrB/UoQhOJzuwdqJVsIjjJKBzE+oMrF+fQZwUpOkKZJHL2w+KPwAAAP//AwBQSwECLQAUAAYA&#10;CAAAACEA5JnDwPsAAADhAQAAEwAAAAAAAAAAAAAAAAAAAAAAW0NvbnRlbnRfVHlwZXNdLnhtbFBL&#10;AQItABQABgAIAAAAIQAjsmrh1wAAAJQBAAALAAAAAAAAAAAAAAAAACwBAABfcmVscy8ucmVsc1BL&#10;AQItABQABgAIAAAAIQAq/sfHJAIAAEAEAAAOAAAAAAAAAAAAAAAAACwCAABkcnMvZTJvRG9jLnht&#10;bFBLAQItABQABgAIAAAAIQB2gSlG3gAAAAkBAAAPAAAAAAAAAAAAAAAAAHwEAABkcnMvZG93bnJl&#10;di54bWxQSwUGAAAAAAQABADzAAAAhwUAAAAA&#10;"/>
                  </w:pict>
                </mc:Fallback>
              </mc:AlternateContent>
            </w:r>
            <w:r w:rsidR="00186B62">
              <w:t xml:space="preserve">                            A</w:t>
            </w:r>
          </w:p>
          <w:p w:rsidR="00186B62" w:rsidRPr="00F75AC1" w:rsidRDefault="00186B62" w:rsidP="00E24FE8">
            <w:r>
              <w:t>DE</w:t>
            </w:r>
          </w:p>
        </w:tc>
        <w:tc>
          <w:tcPr>
            <w:tcW w:w="2693" w:type="dxa"/>
            <w:shd w:val="pct70" w:color="FFFF00" w:fill="FFFF00"/>
          </w:tcPr>
          <w:p w:rsidR="00F75AC1" w:rsidRPr="00E24FE8" w:rsidRDefault="00F75AC1" w:rsidP="001A0DB0">
            <w:pPr>
              <w:jc w:val="center"/>
              <w:rPr>
                <w:b/>
                <w:sz w:val="20"/>
                <w:szCs w:val="20"/>
              </w:rPr>
            </w:pPr>
            <w:r w:rsidRPr="00E24FE8">
              <w:rPr>
                <w:b/>
                <w:sz w:val="20"/>
                <w:szCs w:val="20"/>
              </w:rPr>
              <w:t>ACADEMICO</w:t>
            </w:r>
          </w:p>
        </w:tc>
        <w:tc>
          <w:tcPr>
            <w:tcW w:w="2268" w:type="dxa"/>
            <w:shd w:val="pct70" w:color="FFFF00" w:fill="FFFF00"/>
          </w:tcPr>
          <w:p w:rsidR="00F75AC1" w:rsidRPr="00E24FE8" w:rsidRDefault="00F75AC1" w:rsidP="001A0DB0">
            <w:pPr>
              <w:jc w:val="center"/>
              <w:rPr>
                <w:b/>
                <w:sz w:val="20"/>
                <w:szCs w:val="20"/>
              </w:rPr>
            </w:pPr>
            <w:r w:rsidRPr="00E24FE8">
              <w:rPr>
                <w:b/>
                <w:sz w:val="20"/>
                <w:szCs w:val="20"/>
              </w:rPr>
              <w:t>VINCULACION</w:t>
            </w:r>
          </w:p>
        </w:tc>
        <w:tc>
          <w:tcPr>
            <w:tcW w:w="2268" w:type="dxa"/>
            <w:shd w:val="pct70" w:color="FFFF00" w:fill="FFFF00"/>
          </w:tcPr>
          <w:p w:rsidR="00F75AC1" w:rsidRPr="00E24FE8" w:rsidRDefault="00F75AC1" w:rsidP="001A0DB0">
            <w:pPr>
              <w:jc w:val="center"/>
              <w:rPr>
                <w:b/>
                <w:sz w:val="20"/>
                <w:szCs w:val="20"/>
              </w:rPr>
            </w:pPr>
            <w:r w:rsidRPr="00E24FE8">
              <w:rPr>
                <w:b/>
                <w:sz w:val="20"/>
                <w:szCs w:val="20"/>
              </w:rPr>
              <w:t>ADMINISTRACION DE RECURSOS</w:t>
            </w:r>
          </w:p>
        </w:tc>
        <w:tc>
          <w:tcPr>
            <w:tcW w:w="2552" w:type="dxa"/>
            <w:shd w:val="pct70" w:color="FFFF00" w:fill="FFFF00"/>
          </w:tcPr>
          <w:p w:rsidR="00F75AC1" w:rsidRPr="00E24FE8" w:rsidRDefault="00F75AC1" w:rsidP="001A0DB0">
            <w:pPr>
              <w:jc w:val="center"/>
              <w:rPr>
                <w:b/>
                <w:sz w:val="20"/>
                <w:szCs w:val="20"/>
              </w:rPr>
            </w:pPr>
            <w:r w:rsidRPr="00E24FE8">
              <w:rPr>
                <w:b/>
                <w:sz w:val="20"/>
                <w:szCs w:val="20"/>
              </w:rPr>
              <w:t>PLANEACION</w:t>
            </w:r>
          </w:p>
        </w:tc>
        <w:tc>
          <w:tcPr>
            <w:tcW w:w="2693" w:type="dxa"/>
            <w:shd w:val="pct70" w:color="FFFF00" w:fill="FFFF00"/>
          </w:tcPr>
          <w:p w:rsidR="00F75AC1" w:rsidRPr="00E24FE8" w:rsidRDefault="00F75AC1" w:rsidP="001A0DB0">
            <w:pPr>
              <w:jc w:val="center"/>
              <w:rPr>
                <w:b/>
                <w:sz w:val="20"/>
                <w:szCs w:val="20"/>
              </w:rPr>
            </w:pPr>
            <w:r w:rsidRPr="00E24FE8">
              <w:rPr>
                <w:b/>
                <w:sz w:val="20"/>
                <w:szCs w:val="20"/>
              </w:rPr>
              <w:t>CALIDAD</w:t>
            </w:r>
          </w:p>
        </w:tc>
      </w:tr>
      <w:tr w:rsidR="002A0318" w:rsidRPr="00F75AC1" w:rsidTr="001A0DB0">
        <w:tc>
          <w:tcPr>
            <w:tcW w:w="2093" w:type="dxa"/>
            <w:shd w:val="pct50" w:color="FFFF00" w:fill="FFFF00"/>
          </w:tcPr>
          <w:p w:rsidR="00F75AC1" w:rsidRPr="00E24FE8" w:rsidRDefault="00F75AC1" w:rsidP="00E24FE8">
            <w:pPr>
              <w:rPr>
                <w:b/>
                <w:sz w:val="20"/>
                <w:szCs w:val="20"/>
              </w:rPr>
            </w:pPr>
            <w:r w:rsidRPr="00E24FE8">
              <w:rPr>
                <w:b/>
                <w:sz w:val="20"/>
                <w:szCs w:val="20"/>
              </w:rPr>
              <w:t>ACADEMICO</w:t>
            </w:r>
          </w:p>
        </w:tc>
        <w:tc>
          <w:tcPr>
            <w:tcW w:w="2693" w:type="dxa"/>
          </w:tcPr>
          <w:p w:rsidR="00F75AC1" w:rsidRPr="005575CB" w:rsidRDefault="00F75AC1" w:rsidP="005575CB">
            <w:pPr>
              <w:pStyle w:val="Prrafodelista"/>
              <w:ind w:left="227"/>
              <w:jc w:val="both"/>
              <w:rPr>
                <w:sz w:val="18"/>
                <w:szCs w:val="18"/>
              </w:rPr>
            </w:pPr>
          </w:p>
        </w:tc>
        <w:tc>
          <w:tcPr>
            <w:tcW w:w="2268" w:type="dxa"/>
          </w:tcPr>
          <w:p w:rsidR="00F75AC1" w:rsidRPr="005575CB" w:rsidRDefault="005254A2" w:rsidP="005575CB">
            <w:pPr>
              <w:pStyle w:val="Prrafodelista"/>
              <w:numPr>
                <w:ilvl w:val="0"/>
                <w:numId w:val="18"/>
              </w:numPr>
              <w:jc w:val="both"/>
              <w:rPr>
                <w:b/>
                <w:sz w:val="18"/>
                <w:szCs w:val="18"/>
              </w:rPr>
            </w:pPr>
            <w:r w:rsidRPr="005575CB">
              <w:rPr>
                <w:sz w:val="18"/>
                <w:szCs w:val="18"/>
              </w:rPr>
              <w:t>Solicitudes de visitas a empresas.</w:t>
            </w:r>
          </w:p>
          <w:p w:rsidR="005254A2" w:rsidRPr="001067E6" w:rsidRDefault="005254A2" w:rsidP="005575CB">
            <w:pPr>
              <w:jc w:val="both"/>
              <w:rPr>
                <w:sz w:val="18"/>
                <w:szCs w:val="18"/>
              </w:rPr>
            </w:pPr>
          </w:p>
        </w:tc>
        <w:tc>
          <w:tcPr>
            <w:tcW w:w="2268" w:type="dxa"/>
          </w:tcPr>
          <w:p w:rsidR="00F75AC1" w:rsidRPr="005575CB" w:rsidRDefault="00D2732F" w:rsidP="005575CB">
            <w:pPr>
              <w:pStyle w:val="Prrafodelista"/>
              <w:numPr>
                <w:ilvl w:val="0"/>
                <w:numId w:val="18"/>
              </w:numPr>
              <w:jc w:val="both"/>
              <w:rPr>
                <w:sz w:val="18"/>
                <w:szCs w:val="18"/>
              </w:rPr>
            </w:pPr>
            <w:r w:rsidRPr="005575CB">
              <w:rPr>
                <w:sz w:val="18"/>
                <w:szCs w:val="18"/>
              </w:rPr>
              <w:t>Solicitudes de mantenimiento y c</w:t>
            </w:r>
            <w:r w:rsidR="002A0318" w:rsidRPr="005575CB">
              <w:rPr>
                <w:sz w:val="18"/>
                <w:szCs w:val="18"/>
              </w:rPr>
              <w:t>ompras</w:t>
            </w:r>
            <w:r w:rsidRPr="005575CB">
              <w:rPr>
                <w:sz w:val="18"/>
                <w:szCs w:val="18"/>
              </w:rPr>
              <w:t>.</w:t>
            </w:r>
          </w:p>
          <w:p w:rsidR="00D2732F" w:rsidRPr="005575CB" w:rsidRDefault="00D2732F" w:rsidP="005575CB">
            <w:pPr>
              <w:pStyle w:val="Prrafodelista"/>
              <w:numPr>
                <w:ilvl w:val="0"/>
                <w:numId w:val="18"/>
              </w:numPr>
              <w:jc w:val="both"/>
              <w:rPr>
                <w:sz w:val="18"/>
                <w:szCs w:val="18"/>
              </w:rPr>
            </w:pPr>
            <w:r w:rsidRPr="005575CB">
              <w:rPr>
                <w:sz w:val="18"/>
                <w:szCs w:val="18"/>
              </w:rPr>
              <w:t>Necesidades de personal y de capacitación</w:t>
            </w:r>
          </w:p>
        </w:tc>
        <w:tc>
          <w:tcPr>
            <w:tcW w:w="2552" w:type="dxa"/>
          </w:tcPr>
          <w:p w:rsidR="00F75AC1" w:rsidRPr="005575CB" w:rsidRDefault="00A472C3" w:rsidP="005575CB">
            <w:pPr>
              <w:pStyle w:val="Prrafodelista"/>
              <w:numPr>
                <w:ilvl w:val="0"/>
                <w:numId w:val="18"/>
              </w:numPr>
              <w:jc w:val="both"/>
              <w:rPr>
                <w:sz w:val="18"/>
                <w:szCs w:val="18"/>
              </w:rPr>
            </w:pPr>
            <w:r w:rsidRPr="005575CB">
              <w:rPr>
                <w:sz w:val="18"/>
                <w:szCs w:val="18"/>
              </w:rPr>
              <w:t>Información estadística</w:t>
            </w:r>
            <w:r w:rsidR="001A0DB0" w:rsidRPr="005575CB">
              <w:rPr>
                <w:sz w:val="18"/>
                <w:szCs w:val="18"/>
              </w:rPr>
              <w:t>.</w:t>
            </w:r>
          </w:p>
        </w:tc>
        <w:tc>
          <w:tcPr>
            <w:tcW w:w="2693" w:type="dxa"/>
          </w:tcPr>
          <w:p w:rsidR="00F75AC1" w:rsidRPr="005575CB" w:rsidRDefault="002A0318" w:rsidP="005575CB">
            <w:pPr>
              <w:pStyle w:val="Prrafodelista"/>
              <w:numPr>
                <w:ilvl w:val="0"/>
                <w:numId w:val="18"/>
              </w:numPr>
              <w:jc w:val="both"/>
              <w:rPr>
                <w:sz w:val="20"/>
                <w:szCs w:val="20"/>
              </w:rPr>
            </w:pPr>
            <w:r w:rsidRPr="005575CB">
              <w:rPr>
                <w:sz w:val="20"/>
                <w:szCs w:val="20"/>
              </w:rPr>
              <w:t>Información para la evaluación de procesos y productos</w:t>
            </w:r>
          </w:p>
        </w:tc>
      </w:tr>
      <w:tr w:rsidR="002A0318" w:rsidRPr="00F75AC1" w:rsidTr="001A0DB0">
        <w:tc>
          <w:tcPr>
            <w:tcW w:w="2093" w:type="dxa"/>
            <w:shd w:val="pct50" w:color="FFFF00" w:fill="FFFF00"/>
          </w:tcPr>
          <w:p w:rsidR="00F75AC1" w:rsidRPr="00E24FE8" w:rsidRDefault="00F75AC1" w:rsidP="00E24FE8">
            <w:pPr>
              <w:rPr>
                <w:b/>
                <w:sz w:val="20"/>
                <w:szCs w:val="20"/>
              </w:rPr>
            </w:pPr>
            <w:r w:rsidRPr="00E24FE8">
              <w:rPr>
                <w:b/>
                <w:sz w:val="20"/>
                <w:szCs w:val="20"/>
              </w:rPr>
              <w:t>VINCULACION</w:t>
            </w:r>
          </w:p>
        </w:tc>
        <w:tc>
          <w:tcPr>
            <w:tcW w:w="2693" w:type="dxa"/>
          </w:tcPr>
          <w:p w:rsidR="00F75AC1" w:rsidRPr="005575CB" w:rsidRDefault="00F75AC1" w:rsidP="005575CB">
            <w:pPr>
              <w:pStyle w:val="Prrafodelista"/>
              <w:numPr>
                <w:ilvl w:val="0"/>
                <w:numId w:val="18"/>
              </w:numPr>
              <w:jc w:val="both"/>
              <w:rPr>
                <w:sz w:val="18"/>
                <w:szCs w:val="18"/>
              </w:rPr>
            </w:pPr>
            <w:r w:rsidRPr="005575CB">
              <w:rPr>
                <w:sz w:val="18"/>
                <w:szCs w:val="18"/>
              </w:rPr>
              <w:t>Visitas a empresas para la formación profesional del alumno</w:t>
            </w:r>
          </w:p>
          <w:p w:rsidR="00F75AC1" w:rsidRPr="005575CB" w:rsidRDefault="00F75AC1" w:rsidP="005575CB">
            <w:pPr>
              <w:pStyle w:val="Prrafodelista"/>
              <w:numPr>
                <w:ilvl w:val="0"/>
                <w:numId w:val="18"/>
              </w:numPr>
              <w:jc w:val="both"/>
              <w:rPr>
                <w:sz w:val="18"/>
                <w:szCs w:val="18"/>
              </w:rPr>
            </w:pPr>
            <w:r w:rsidRPr="005575CB">
              <w:rPr>
                <w:sz w:val="18"/>
                <w:szCs w:val="18"/>
              </w:rPr>
              <w:t xml:space="preserve"> </w:t>
            </w:r>
            <w:r w:rsidR="000C2C64" w:rsidRPr="005575CB">
              <w:rPr>
                <w:sz w:val="18"/>
                <w:szCs w:val="18"/>
              </w:rPr>
              <w:t>Constancia</w:t>
            </w:r>
            <w:r w:rsidR="00B40245" w:rsidRPr="005575CB">
              <w:rPr>
                <w:sz w:val="18"/>
                <w:szCs w:val="18"/>
              </w:rPr>
              <w:t xml:space="preserve"> de servicio social para el acto de recepción profesional</w:t>
            </w:r>
          </w:p>
        </w:tc>
        <w:tc>
          <w:tcPr>
            <w:tcW w:w="2268" w:type="dxa"/>
          </w:tcPr>
          <w:p w:rsidR="00F75AC1" w:rsidRPr="005575CB" w:rsidRDefault="00F75AC1" w:rsidP="005575CB">
            <w:pPr>
              <w:pStyle w:val="Prrafodelista"/>
              <w:ind w:left="227"/>
              <w:jc w:val="both"/>
              <w:rPr>
                <w:sz w:val="18"/>
                <w:szCs w:val="18"/>
              </w:rPr>
            </w:pPr>
          </w:p>
        </w:tc>
        <w:tc>
          <w:tcPr>
            <w:tcW w:w="2268" w:type="dxa"/>
          </w:tcPr>
          <w:p w:rsidR="00A472C3" w:rsidRPr="005575CB" w:rsidRDefault="00A472C3" w:rsidP="005575CB">
            <w:pPr>
              <w:pStyle w:val="Prrafodelista"/>
              <w:numPr>
                <w:ilvl w:val="0"/>
                <w:numId w:val="18"/>
              </w:numPr>
              <w:jc w:val="both"/>
              <w:rPr>
                <w:sz w:val="18"/>
                <w:szCs w:val="18"/>
              </w:rPr>
            </w:pPr>
            <w:r w:rsidRPr="005575CB">
              <w:rPr>
                <w:sz w:val="18"/>
                <w:szCs w:val="18"/>
              </w:rPr>
              <w:t>Solicitudes de mantenimiento y compras.</w:t>
            </w:r>
          </w:p>
          <w:p w:rsidR="00F75AC1" w:rsidRPr="005575CB" w:rsidRDefault="00A472C3" w:rsidP="005575CB">
            <w:pPr>
              <w:pStyle w:val="Prrafodelista"/>
              <w:numPr>
                <w:ilvl w:val="0"/>
                <w:numId w:val="18"/>
              </w:numPr>
              <w:jc w:val="both"/>
              <w:rPr>
                <w:sz w:val="18"/>
                <w:szCs w:val="18"/>
              </w:rPr>
            </w:pPr>
            <w:r w:rsidRPr="005575CB">
              <w:rPr>
                <w:sz w:val="18"/>
                <w:szCs w:val="18"/>
              </w:rPr>
              <w:t>Necesidades de personal y de capacitación</w:t>
            </w:r>
          </w:p>
        </w:tc>
        <w:tc>
          <w:tcPr>
            <w:tcW w:w="2552" w:type="dxa"/>
          </w:tcPr>
          <w:p w:rsidR="00F75AC1" w:rsidRPr="005575CB" w:rsidRDefault="002A0318" w:rsidP="005575CB">
            <w:pPr>
              <w:pStyle w:val="Prrafodelista"/>
              <w:numPr>
                <w:ilvl w:val="0"/>
                <w:numId w:val="18"/>
              </w:numPr>
              <w:jc w:val="both"/>
              <w:rPr>
                <w:sz w:val="18"/>
                <w:szCs w:val="18"/>
              </w:rPr>
            </w:pPr>
            <w:r w:rsidRPr="005575CB">
              <w:rPr>
                <w:sz w:val="18"/>
                <w:szCs w:val="18"/>
              </w:rPr>
              <w:t>* Información estadística relativa a servicio social y participación en eventos culturales y/o deportivos</w:t>
            </w:r>
          </w:p>
        </w:tc>
        <w:tc>
          <w:tcPr>
            <w:tcW w:w="2693" w:type="dxa"/>
          </w:tcPr>
          <w:p w:rsidR="00F75AC1" w:rsidRPr="00F75AC1" w:rsidRDefault="008C5F1E" w:rsidP="005575CB">
            <w:pPr>
              <w:pStyle w:val="Prrafodelista"/>
              <w:numPr>
                <w:ilvl w:val="0"/>
                <w:numId w:val="18"/>
              </w:numPr>
              <w:jc w:val="both"/>
            </w:pPr>
            <w:r w:rsidRPr="005575CB">
              <w:rPr>
                <w:sz w:val="20"/>
                <w:szCs w:val="20"/>
              </w:rPr>
              <w:t>Información para la evaluación de procesos y productos</w:t>
            </w:r>
          </w:p>
        </w:tc>
      </w:tr>
      <w:tr w:rsidR="002A0318" w:rsidRPr="00F75AC1" w:rsidTr="001A0DB0">
        <w:tc>
          <w:tcPr>
            <w:tcW w:w="2093" w:type="dxa"/>
            <w:shd w:val="pct50" w:color="FFFF00" w:fill="FFFF00"/>
          </w:tcPr>
          <w:p w:rsidR="00F75AC1" w:rsidRPr="00E24FE8" w:rsidRDefault="00F75AC1" w:rsidP="00E24FE8">
            <w:pPr>
              <w:rPr>
                <w:b/>
                <w:sz w:val="20"/>
                <w:szCs w:val="20"/>
              </w:rPr>
            </w:pPr>
            <w:r w:rsidRPr="00E24FE8">
              <w:rPr>
                <w:b/>
                <w:sz w:val="20"/>
                <w:szCs w:val="20"/>
              </w:rPr>
              <w:t>ADMINISTRACION DE RECURSOS</w:t>
            </w:r>
          </w:p>
        </w:tc>
        <w:tc>
          <w:tcPr>
            <w:tcW w:w="2693" w:type="dxa"/>
          </w:tcPr>
          <w:p w:rsidR="00F75AC1" w:rsidRPr="005575CB" w:rsidRDefault="00B40245" w:rsidP="005575CB">
            <w:pPr>
              <w:pStyle w:val="Prrafodelista"/>
              <w:numPr>
                <w:ilvl w:val="0"/>
                <w:numId w:val="18"/>
              </w:numPr>
              <w:jc w:val="both"/>
              <w:rPr>
                <w:sz w:val="18"/>
                <w:szCs w:val="18"/>
              </w:rPr>
            </w:pPr>
            <w:r w:rsidRPr="005575CB">
              <w:rPr>
                <w:sz w:val="18"/>
                <w:szCs w:val="18"/>
              </w:rPr>
              <w:t>Persona</w:t>
            </w:r>
            <w:r w:rsidR="00A472C3" w:rsidRPr="005575CB">
              <w:rPr>
                <w:sz w:val="18"/>
                <w:szCs w:val="18"/>
              </w:rPr>
              <w:t xml:space="preserve">l </w:t>
            </w:r>
            <w:r w:rsidRPr="005575CB">
              <w:rPr>
                <w:sz w:val="18"/>
                <w:szCs w:val="18"/>
              </w:rPr>
              <w:t xml:space="preserve"> c</w:t>
            </w:r>
            <w:r w:rsidR="00A472C3" w:rsidRPr="005575CB">
              <w:rPr>
                <w:sz w:val="18"/>
                <w:szCs w:val="18"/>
              </w:rPr>
              <w:t>ompetente</w:t>
            </w:r>
            <w:r w:rsidRPr="005575CB">
              <w:rPr>
                <w:sz w:val="18"/>
                <w:szCs w:val="18"/>
              </w:rPr>
              <w:t xml:space="preserve"> </w:t>
            </w:r>
          </w:p>
          <w:p w:rsidR="00B40245" w:rsidRPr="005575CB" w:rsidRDefault="00B40245" w:rsidP="005575CB">
            <w:pPr>
              <w:pStyle w:val="Prrafodelista"/>
              <w:numPr>
                <w:ilvl w:val="0"/>
                <w:numId w:val="18"/>
              </w:numPr>
              <w:jc w:val="both"/>
              <w:rPr>
                <w:sz w:val="18"/>
                <w:szCs w:val="18"/>
              </w:rPr>
            </w:pPr>
            <w:r w:rsidRPr="005575CB">
              <w:rPr>
                <w:sz w:val="18"/>
                <w:szCs w:val="18"/>
              </w:rPr>
              <w:t>Mantenimiento de la infraestructura</w:t>
            </w:r>
          </w:p>
          <w:p w:rsidR="0024184F" w:rsidRPr="005575CB" w:rsidRDefault="0024184F" w:rsidP="005575CB">
            <w:pPr>
              <w:pStyle w:val="Prrafodelista"/>
              <w:numPr>
                <w:ilvl w:val="0"/>
                <w:numId w:val="18"/>
              </w:numPr>
              <w:jc w:val="both"/>
              <w:rPr>
                <w:sz w:val="18"/>
                <w:szCs w:val="18"/>
              </w:rPr>
            </w:pPr>
            <w:r w:rsidRPr="005575CB">
              <w:rPr>
                <w:sz w:val="18"/>
                <w:szCs w:val="18"/>
              </w:rPr>
              <w:t>Bienes y/o servicios requeridos</w:t>
            </w:r>
          </w:p>
          <w:p w:rsidR="00FA732E" w:rsidRPr="001067E6" w:rsidRDefault="00FA732E" w:rsidP="005575CB">
            <w:pPr>
              <w:jc w:val="both"/>
              <w:rPr>
                <w:sz w:val="18"/>
                <w:szCs w:val="18"/>
              </w:rPr>
            </w:pPr>
          </w:p>
        </w:tc>
        <w:tc>
          <w:tcPr>
            <w:tcW w:w="2268" w:type="dxa"/>
          </w:tcPr>
          <w:p w:rsidR="002A0318" w:rsidRPr="005575CB" w:rsidRDefault="002A0318" w:rsidP="005575CB">
            <w:pPr>
              <w:pStyle w:val="Prrafodelista"/>
              <w:numPr>
                <w:ilvl w:val="0"/>
                <w:numId w:val="18"/>
              </w:numPr>
              <w:jc w:val="both"/>
              <w:rPr>
                <w:sz w:val="18"/>
                <w:szCs w:val="18"/>
              </w:rPr>
            </w:pPr>
            <w:r w:rsidRPr="005575CB">
              <w:rPr>
                <w:sz w:val="18"/>
                <w:szCs w:val="18"/>
              </w:rPr>
              <w:t>Personal co</w:t>
            </w:r>
            <w:r w:rsidR="00A472C3" w:rsidRPr="005575CB">
              <w:rPr>
                <w:sz w:val="18"/>
                <w:szCs w:val="18"/>
              </w:rPr>
              <w:t>mpetente</w:t>
            </w:r>
            <w:r w:rsidRPr="005575CB">
              <w:rPr>
                <w:sz w:val="18"/>
                <w:szCs w:val="18"/>
              </w:rPr>
              <w:t xml:space="preserve"> </w:t>
            </w:r>
          </w:p>
          <w:p w:rsidR="002A0318" w:rsidRPr="005575CB" w:rsidRDefault="002A0318" w:rsidP="005575CB">
            <w:pPr>
              <w:pStyle w:val="Prrafodelista"/>
              <w:numPr>
                <w:ilvl w:val="0"/>
                <w:numId w:val="18"/>
              </w:numPr>
              <w:jc w:val="both"/>
              <w:rPr>
                <w:sz w:val="18"/>
                <w:szCs w:val="18"/>
              </w:rPr>
            </w:pPr>
            <w:r w:rsidRPr="005575CB">
              <w:rPr>
                <w:sz w:val="18"/>
                <w:szCs w:val="18"/>
              </w:rPr>
              <w:t>Mantenimiento de la infraestructura</w:t>
            </w:r>
          </w:p>
          <w:p w:rsidR="0024184F" w:rsidRPr="005575CB" w:rsidRDefault="0024184F" w:rsidP="005575CB">
            <w:pPr>
              <w:pStyle w:val="Prrafodelista"/>
              <w:numPr>
                <w:ilvl w:val="0"/>
                <w:numId w:val="18"/>
              </w:numPr>
              <w:jc w:val="both"/>
              <w:rPr>
                <w:sz w:val="18"/>
                <w:szCs w:val="18"/>
              </w:rPr>
            </w:pPr>
            <w:r w:rsidRPr="005575CB">
              <w:rPr>
                <w:sz w:val="18"/>
                <w:szCs w:val="18"/>
              </w:rPr>
              <w:t>Bienes y/o servicios requeridos</w:t>
            </w:r>
          </w:p>
          <w:p w:rsidR="00F75AC1" w:rsidRPr="001067E6" w:rsidRDefault="00F75AC1" w:rsidP="005575CB">
            <w:pPr>
              <w:jc w:val="both"/>
              <w:rPr>
                <w:sz w:val="18"/>
                <w:szCs w:val="18"/>
              </w:rPr>
            </w:pPr>
          </w:p>
        </w:tc>
        <w:tc>
          <w:tcPr>
            <w:tcW w:w="2268" w:type="dxa"/>
          </w:tcPr>
          <w:p w:rsidR="00F75AC1" w:rsidRPr="005575CB" w:rsidRDefault="00F75AC1" w:rsidP="005575CB">
            <w:pPr>
              <w:pStyle w:val="Prrafodelista"/>
              <w:ind w:left="227"/>
              <w:jc w:val="both"/>
              <w:rPr>
                <w:sz w:val="18"/>
                <w:szCs w:val="18"/>
              </w:rPr>
            </w:pPr>
          </w:p>
        </w:tc>
        <w:tc>
          <w:tcPr>
            <w:tcW w:w="2552" w:type="dxa"/>
          </w:tcPr>
          <w:p w:rsidR="002A0318" w:rsidRPr="005575CB" w:rsidRDefault="002A0318" w:rsidP="005575CB">
            <w:pPr>
              <w:pStyle w:val="Prrafodelista"/>
              <w:numPr>
                <w:ilvl w:val="0"/>
                <w:numId w:val="18"/>
              </w:numPr>
              <w:jc w:val="both"/>
              <w:rPr>
                <w:sz w:val="18"/>
                <w:szCs w:val="18"/>
              </w:rPr>
            </w:pPr>
            <w:r w:rsidRPr="005575CB">
              <w:rPr>
                <w:sz w:val="18"/>
                <w:szCs w:val="18"/>
              </w:rPr>
              <w:t xml:space="preserve">Personal </w:t>
            </w:r>
            <w:r w:rsidR="0024184F" w:rsidRPr="005575CB">
              <w:rPr>
                <w:sz w:val="18"/>
                <w:szCs w:val="18"/>
              </w:rPr>
              <w:t>competente</w:t>
            </w:r>
          </w:p>
          <w:p w:rsidR="002A0318" w:rsidRPr="005575CB" w:rsidRDefault="002A0318" w:rsidP="005575CB">
            <w:pPr>
              <w:pStyle w:val="Prrafodelista"/>
              <w:numPr>
                <w:ilvl w:val="0"/>
                <w:numId w:val="18"/>
              </w:numPr>
              <w:jc w:val="both"/>
              <w:rPr>
                <w:sz w:val="18"/>
                <w:szCs w:val="18"/>
              </w:rPr>
            </w:pPr>
            <w:r w:rsidRPr="005575CB">
              <w:rPr>
                <w:sz w:val="18"/>
                <w:szCs w:val="18"/>
              </w:rPr>
              <w:t>Mantenimiento de la infraestructura</w:t>
            </w:r>
          </w:p>
          <w:p w:rsidR="00F75AC1" w:rsidRPr="005575CB" w:rsidRDefault="0024184F" w:rsidP="005575CB">
            <w:pPr>
              <w:pStyle w:val="Prrafodelista"/>
              <w:numPr>
                <w:ilvl w:val="0"/>
                <w:numId w:val="18"/>
              </w:numPr>
              <w:jc w:val="both"/>
              <w:rPr>
                <w:sz w:val="18"/>
                <w:szCs w:val="18"/>
              </w:rPr>
            </w:pPr>
            <w:r w:rsidRPr="005575CB">
              <w:rPr>
                <w:sz w:val="18"/>
                <w:szCs w:val="18"/>
              </w:rPr>
              <w:t>Bienes y/o servicios requeridos</w:t>
            </w:r>
          </w:p>
          <w:p w:rsidR="0024184F" w:rsidRPr="005575CB" w:rsidRDefault="0024184F" w:rsidP="005575CB">
            <w:pPr>
              <w:pStyle w:val="Prrafodelista"/>
              <w:numPr>
                <w:ilvl w:val="0"/>
                <w:numId w:val="18"/>
              </w:numPr>
              <w:jc w:val="both"/>
              <w:rPr>
                <w:sz w:val="18"/>
                <w:szCs w:val="18"/>
              </w:rPr>
            </w:pPr>
            <w:r w:rsidRPr="005575CB">
              <w:rPr>
                <w:sz w:val="18"/>
                <w:szCs w:val="18"/>
              </w:rPr>
              <w:t>Información estadística</w:t>
            </w:r>
          </w:p>
        </w:tc>
        <w:tc>
          <w:tcPr>
            <w:tcW w:w="2693" w:type="dxa"/>
          </w:tcPr>
          <w:p w:rsidR="002A0318" w:rsidRPr="005575CB" w:rsidRDefault="002A0318" w:rsidP="005575CB">
            <w:pPr>
              <w:pStyle w:val="Prrafodelista"/>
              <w:numPr>
                <w:ilvl w:val="0"/>
                <w:numId w:val="18"/>
              </w:numPr>
              <w:jc w:val="both"/>
              <w:rPr>
                <w:sz w:val="20"/>
                <w:szCs w:val="20"/>
              </w:rPr>
            </w:pPr>
            <w:r w:rsidRPr="005575CB">
              <w:rPr>
                <w:sz w:val="20"/>
                <w:szCs w:val="20"/>
              </w:rPr>
              <w:t xml:space="preserve">Personal </w:t>
            </w:r>
            <w:r w:rsidR="0024184F" w:rsidRPr="005575CB">
              <w:rPr>
                <w:sz w:val="20"/>
                <w:szCs w:val="20"/>
              </w:rPr>
              <w:t>competente</w:t>
            </w:r>
          </w:p>
          <w:p w:rsidR="002A0318" w:rsidRPr="005575CB" w:rsidRDefault="002A0318" w:rsidP="005575CB">
            <w:pPr>
              <w:pStyle w:val="Prrafodelista"/>
              <w:numPr>
                <w:ilvl w:val="0"/>
                <w:numId w:val="18"/>
              </w:numPr>
              <w:jc w:val="both"/>
              <w:rPr>
                <w:sz w:val="20"/>
                <w:szCs w:val="20"/>
              </w:rPr>
            </w:pPr>
            <w:r w:rsidRPr="005575CB">
              <w:rPr>
                <w:sz w:val="20"/>
                <w:szCs w:val="20"/>
              </w:rPr>
              <w:t>Mantenimiento de la infraestructura</w:t>
            </w:r>
          </w:p>
          <w:p w:rsidR="0024184F" w:rsidRPr="005575CB" w:rsidRDefault="0024184F" w:rsidP="005575CB">
            <w:pPr>
              <w:pStyle w:val="Prrafodelista"/>
              <w:numPr>
                <w:ilvl w:val="0"/>
                <w:numId w:val="18"/>
              </w:numPr>
              <w:jc w:val="both"/>
              <w:rPr>
                <w:sz w:val="18"/>
                <w:szCs w:val="18"/>
              </w:rPr>
            </w:pPr>
            <w:r w:rsidRPr="005575CB">
              <w:rPr>
                <w:sz w:val="18"/>
                <w:szCs w:val="18"/>
              </w:rPr>
              <w:t>Bienes y/o servicios requeridos</w:t>
            </w:r>
          </w:p>
          <w:p w:rsidR="00F75AC1" w:rsidRPr="00F75AC1" w:rsidRDefault="0024184F" w:rsidP="005575CB">
            <w:pPr>
              <w:pStyle w:val="Prrafodelista"/>
              <w:numPr>
                <w:ilvl w:val="0"/>
                <w:numId w:val="18"/>
              </w:numPr>
              <w:jc w:val="both"/>
            </w:pPr>
            <w:r w:rsidRPr="005575CB">
              <w:rPr>
                <w:sz w:val="20"/>
                <w:szCs w:val="20"/>
              </w:rPr>
              <w:t>Información para la evaluación de los procesos</w:t>
            </w:r>
          </w:p>
        </w:tc>
      </w:tr>
      <w:tr w:rsidR="002A0318" w:rsidRPr="00F75AC1" w:rsidTr="001A0DB0">
        <w:tc>
          <w:tcPr>
            <w:tcW w:w="2093" w:type="dxa"/>
            <w:shd w:val="pct50" w:color="FFFF00" w:fill="FFFF00"/>
          </w:tcPr>
          <w:p w:rsidR="00F75AC1" w:rsidRPr="00E24FE8" w:rsidRDefault="00F75AC1" w:rsidP="00E24FE8">
            <w:pPr>
              <w:rPr>
                <w:b/>
                <w:sz w:val="20"/>
                <w:szCs w:val="20"/>
              </w:rPr>
            </w:pPr>
            <w:r w:rsidRPr="00E24FE8">
              <w:rPr>
                <w:b/>
                <w:sz w:val="20"/>
                <w:szCs w:val="20"/>
              </w:rPr>
              <w:t>PLANEACION</w:t>
            </w:r>
          </w:p>
        </w:tc>
        <w:tc>
          <w:tcPr>
            <w:tcW w:w="2693" w:type="dxa"/>
          </w:tcPr>
          <w:p w:rsidR="00F75AC1" w:rsidRPr="005575CB" w:rsidRDefault="00FA732E" w:rsidP="005575CB">
            <w:pPr>
              <w:pStyle w:val="Prrafodelista"/>
              <w:numPr>
                <w:ilvl w:val="0"/>
                <w:numId w:val="18"/>
              </w:numPr>
              <w:jc w:val="both"/>
              <w:rPr>
                <w:sz w:val="18"/>
                <w:szCs w:val="18"/>
              </w:rPr>
            </w:pPr>
            <w:r w:rsidRPr="005575CB">
              <w:rPr>
                <w:sz w:val="18"/>
                <w:szCs w:val="18"/>
              </w:rPr>
              <w:t>Planeación de actividades necesarias para cumplir metas a</w:t>
            </w:r>
            <w:r w:rsidR="002A0318" w:rsidRPr="005575CB">
              <w:rPr>
                <w:sz w:val="18"/>
                <w:szCs w:val="18"/>
              </w:rPr>
              <w:t xml:space="preserve"> </w:t>
            </w:r>
            <w:r w:rsidRPr="005575CB">
              <w:rPr>
                <w:sz w:val="18"/>
                <w:szCs w:val="18"/>
              </w:rPr>
              <w:t>través del PTA.</w:t>
            </w:r>
          </w:p>
          <w:p w:rsidR="00FA732E" w:rsidRPr="005575CB" w:rsidRDefault="00FA732E" w:rsidP="005575CB">
            <w:pPr>
              <w:pStyle w:val="Prrafodelista"/>
              <w:numPr>
                <w:ilvl w:val="0"/>
                <w:numId w:val="18"/>
              </w:numPr>
              <w:jc w:val="both"/>
              <w:rPr>
                <w:sz w:val="18"/>
                <w:szCs w:val="18"/>
              </w:rPr>
            </w:pPr>
            <w:r w:rsidRPr="005575CB">
              <w:rPr>
                <w:sz w:val="18"/>
                <w:szCs w:val="18"/>
              </w:rPr>
              <w:t xml:space="preserve">Disponibilidad y asignación de recursos a través del </w:t>
            </w:r>
            <w:r w:rsidR="00D2732F" w:rsidRPr="005575CB">
              <w:rPr>
                <w:sz w:val="18"/>
                <w:szCs w:val="18"/>
              </w:rPr>
              <w:t>A</w:t>
            </w:r>
            <w:r w:rsidRPr="005575CB">
              <w:rPr>
                <w:sz w:val="18"/>
                <w:szCs w:val="18"/>
              </w:rPr>
              <w:t>POA</w:t>
            </w:r>
            <w:r w:rsidR="00D2732F" w:rsidRPr="005575CB">
              <w:rPr>
                <w:sz w:val="18"/>
                <w:szCs w:val="18"/>
              </w:rPr>
              <w:t>, POA y anteproyecto de inversión</w:t>
            </w:r>
          </w:p>
        </w:tc>
        <w:tc>
          <w:tcPr>
            <w:tcW w:w="2268" w:type="dxa"/>
          </w:tcPr>
          <w:p w:rsidR="00D2732F" w:rsidRPr="005575CB" w:rsidRDefault="00D2732F" w:rsidP="005575CB">
            <w:pPr>
              <w:pStyle w:val="Prrafodelista"/>
              <w:numPr>
                <w:ilvl w:val="0"/>
                <w:numId w:val="18"/>
              </w:numPr>
              <w:jc w:val="both"/>
              <w:rPr>
                <w:sz w:val="18"/>
                <w:szCs w:val="18"/>
              </w:rPr>
            </w:pPr>
            <w:r w:rsidRPr="005575CB">
              <w:rPr>
                <w:sz w:val="18"/>
                <w:szCs w:val="18"/>
              </w:rPr>
              <w:t>Planeación de actividades necesarias para cumplir metas a través del PTA.</w:t>
            </w:r>
          </w:p>
          <w:p w:rsidR="00F75AC1" w:rsidRPr="005575CB" w:rsidRDefault="00D2732F" w:rsidP="005575CB">
            <w:pPr>
              <w:pStyle w:val="Prrafodelista"/>
              <w:numPr>
                <w:ilvl w:val="0"/>
                <w:numId w:val="18"/>
              </w:numPr>
              <w:jc w:val="both"/>
              <w:rPr>
                <w:sz w:val="18"/>
                <w:szCs w:val="18"/>
              </w:rPr>
            </w:pPr>
            <w:r w:rsidRPr="005575CB">
              <w:rPr>
                <w:sz w:val="18"/>
                <w:szCs w:val="18"/>
              </w:rPr>
              <w:t>Disponibilidad y asignación de recursos a través del APOA, POA y anteproyecto de inversión</w:t>
            </w:r>
          </w:p>
        </w:tc>
        <w:tc>
          <w:tcPr>
            <w:tcW w:w="2268" w:type="dxa"/>
          </w:tcPr>
          <w:p w:rsidR="00D2732F" w:rsidRPr="005575CB" w:rsidRDefault="00D2732F" w:rsidP="005575CB">
            <w:pPr>
              <w:pStyle w:val="Prrafodelista"/>
              <w:numPr>
                <w:ilvl w:val="0"/>
                <w:numId w:val="18"/>
              </w:numPr>
              <w:jc w:val="both"/>
              <w:rPr>
                <w:sz w:val="18"/>
                <w:szCs w:val="18"/>
              </w:rPr>
            </w:pPr>
            <w:r w:rsidRPr="005575CB">
              <w:rPr>
                <w:sz w:val="18"/>
                <w:szCs w:val="18"/>
              </w:rPr>
              <w:t>Planeación de actividades necesarias para cumplir metas a través del PTA.</w:t>
            </w:r>
          </w:p>
          <w:p w:rsidR="00F75AC1" w:rsidRPr="005575CB" w:rsidRDefault="00D2732F" w:rsidP="005575CB">
            <w:pPr>
              <w:pStyle w:val="Prrafodelista"/>
              <w:numPr>
                <w:ilvl w:val="0"/>
                <w:numId w:val="18"/>
              </w:numPr>
              <w:jc w:val="both"/>
              <w:rPr>
                <w:sz w:val="18"/>
                <w:szCs w:val="18"/>
              </w:rPr>
            </w:pPr>
            <w:r w:rsidRPr="005575CB">
              <w:rPr>
                <w:sz w:val="18"/>
                <w:szCs w:val="18"/>
              </w:rPr>
              <w:t>Disponibilidad y asignación de recursos a través del APOA, POA y anteproyecto de inversión</w:t>
            </w:r>
          </w:p>
        </w:tc>
        <w:tc>
          <w:tcPr>
            <w:tcW w:w="2552" w:type="dxa"/>
          </w:tcPr>
          <w:p w:rsidR="00F75AC1" w:rsidRPr="005575CB" w:rsidRDefault="00F75AC1" w:rsidP="005575CB">
            <w:pPr>
              <w:pStyle w:val="Prrafodelista"/>
              <w:ind w:left="227"/>
              <w:jc w:val="both"/>
              <w:rPr>
                <w:sz w:val="18"/>
                <w:szCs w:val="18"/>
              </w:rPr>
            </w:pPr>
          </w:p>
        </w:tc>
        <w:tc>
          <w:tcPr>
            <w:tcW w:w="2693" w:type="dxa"/>
          </w:tcPr>
          <w:p w:rsidR="00D2732F" w:rsidRPr="005575CB" w:rsidRDefault="00D2732F" w:rsidP="005575CB">
            <w:pPr>
              <w:pStyle w:val="Prrafodelista"/>
              <w:numPr>
                <w:ilvl w:val="0"/>
                <w:numId w:val="18"/>
              </w:numPr>
              <w:jc w:val="both"/>
              <w:rPr>
                <w:sz w:val="20"/>
                <w:szCs w:val="20"/>
              </w:rPr>
            </w:pPr>
            <w:r w:rsidRPr="005575CB">
              <w:rPr>
                <w:sz w:val="20"/>
                <w:szCs w:val="20"/>
              </w:rPr>
              <w:t>Planeación de actividades necesarias para cumplir metas a través del PTA.</w:t>
            </w:r>
          </w:p>
          <w:p w:rsidR="00F75AC1" w:rsidRPr="005575CB" w:rsidRDefault="00D2732F" w:rsidP="005575CB">
            <w:pPr>
              <w:pStyle w:val="Prrafodelista"/>
              <w:numPr>
                <w:ilvl w:val="0"/>
                <w:numId w:val="18"/>
              </w:numPr>
              <w:jc w:val="both"/>
              <w:rPr>
                <w:sz w:val="20"/>
                <w:szCs w:val="20"/>
              </w:rPr>
            </w:pPr>
            <w:r w:rsidRPr="005575CB">
              <w:rPr>
                <w:sz w:val="20"/>
                <w:szCs w:val="20"/>
              </w:rPr>
              <w:t>Disponibilidad y asignación de recursos a través del APOA, POA y anteproyecto de inversión</w:t>
            </w:r>
          </w:p>
          <w:p w:rsidR="0024184F" w:rsidRPr="00F75AC1" w:rsidRDefault="0024184F" w:rsidP="005575CB">
            <w:pPr>
              <w:pStyle w:val="Prrafodelista"/>
              <w:numPr>
                <w:ilvl w:val="0"/>
                <w:numId w:val="18"/>
              </w:numPr>
              <w:jc w:val="both"/>
            </w:pPr>
            <w:r w:rsidRPr="005575CB">
              <w:rPr>
                <w:sz w:val="20"/>
                <w:szCs w:val="20"/>
              </w:rPr>
              <w:t>Información para la evaluación de los procesos</w:t>
            </w:r>
          </w:p>
        </w:tc>
      </w:tr>
      <w:tr w:rsidR="002A0318" w:rsidRPr="00F75AC1" w:rsidTr="001A0DB0">
        <w:tc>
          <w:tcPr>
            <w:tcW w:w="2093" w:type="dxa"/>
            <w:shd w:val="pct50" w:color="FFFF00" w:fill="FFFF00"/>
          </w:tcPr>
          <w:p w:rsidR="00F75AC1" w:rsidRPr="00E24FE8" w:rsidRDefault="00F75AC1" w:rsidP="00E24FE8">
            <w:pPr>
              <w:rPr>
                <w:b/>
                <w:sz w:val="20"/>
                <w:szCs w:val="20"/>
              </w:rPr>
            </w:pPr>
            <w:r w:rsidRPr="00E24FE8">
              <w:rPr>
                <w:b/>
                <w:sz w:val="20"/>
                <w:szCs w:val="20"/>
              </w:rPr>
              <w:t>CALIDAD</w:t>
            </w:r>
          </w:p>
        </w:tc>
        <w:tc>
          <w:tcPr>
            <w:tcW w:w="2693" w:type="dxa"/>
          </w:tcPr>
          <w:p w:rsidR="00F75AC1" w:rsidRPr="005575CB" w:rsidRDefault="00FA732E" w:rsidP="005575CB">
            <w:pPr>
              <w:pStyle w:val="Prrafodelista"/>
              <w:numPr>
                <w:ilvl w:val="0"/>
                <w:numId w:val="18"/>
              </w:numPr>
              <w:jc w:val="both"/>
              <w:rPr>
                <w:sz w:val="18"/>
                <w:szCs w:val="18"/>
              </w:rPr>
            </w:pPr>
            <w:r w:rsidRPr="005575CB">
              <w:rPr>
                <w:sz w:val="18"/>
                <w:szCs w:val="18"/>
              </w:rPr>
              <w:t>M</w:t>
            </w:r>
            <w:r w:rsidR="002A0318" w:rsidRPr="005575CB">
              <w:rPr>
                <w:sz w:val="18"/>
                <w:szCs w:val="18"/>
              </w:rPr>
              <w:t>edició</w:t>
            </w:r>
            <w:r w:rsidRPr="005575CB">
              <w:rPr>
                <w:sz w:val="18"/>
                <w:szCs w:val="18"/>
              </w:rPr>
              <w:t xml:space="preserve">n análisis </w:t>
            </w:r>
            <w:r w:rsidR="002A0318" w:rsidRPr="005575CB">
              <w:rPr>
                <w:sz w:val="18"/>
                <w:szCs w:val="18"/>
              </w:rPr>
              <w:t>y mejora de procesos y productos</w:t>
            </w:r>
            <w:r w:rsidR="00186B62" w:rsidRPr="005575CB">
              <w:rPr>
                <w:sz w:val="18"/>
                <w:szCs w:val="18"/>
              </w:rPr>
              <w:t>.</w:t>
            </w:r>
          </w:p>
          <w:p w:rsidR="00186B62" w:rsidRPr="005575CB" w:rsidRDefault="00186B62" w:rsidP="005575CB">
            <w:pPr>
              <w:pStyle w:val="Prrafodelista"/>
              <w:numPr>
                <w:ilvl w:val="0"/>
                <w:numId w:val="18"/>
              </w:numPr>
              <w:jc w:val="both"/>
              <w:rPr>
                <w:sz w:val="18"/>
                <w:szCs w:val="18"/>
              </w:rPr>
            </w:pPr>
            <w:r w:rsidRPr="005575CB">
              <w:rPr>
                <w:sz w:val="18"/>
                <w:szCs w:val="18"/>
              </w:rPr>
              <w:t>Medición de la percepción del cliente respecto al servicio educativo</w:t>
            </w:r>
          </w:p>
        </w:tc>
        <w:tc>
          <w:tcPr>
            <w:tcW w:w="2268" w:type="dxa"/>
          </w:tcPr>
          <w:p w:rsidR="00186B62" w:rsidRPr="005575CB" w:rsidRDefault="00186B62" w:rsidP="005575CB">
            <w:pPr>
              <w:pStyle w:val="Prrafodelista"/>
              <w:numPr>
                <w:ilvl w:val="0"/>
                <w:numId w:val="18"/>
              </w:numPr>
              <w:jc w:val="both"/>
              <w:rPr>
                <w:sz w:val="18"/>
                <w:szCs w:val="18"/>
              </w:rPr>
            </w:pPr>
            <w:r w:rsidRPr="005575CB">
              <w:rPr>
                <w:sz w:val="18"/>
                <w:szCs w:val="18"/>
              </w:rPr>
              <w:t>Medición análisis y mejora de procesos y productos a través.</w:t>
            </w:r>
          </w:p>
          <w:p w:rsidR="00F75AC1" w:rsidRPr="005575CB" w:rsidRDefault="00186B62" w:rsidP="005575CB">
            <w:pPr>
              <w:pStyle w:val="Prrafodelista"/>
              <w:numPr>
                <w:ilvl w:val="0"/>
                <w:numId w:val="18"/>
              </w:numPr>
              <w:jc w:val="both"/>
              <w:rPr>
                <w:sz w:val="18"/>
                <w:szCs w:val="18"/>
              </w:rPr>
            </w:pPr>
            <w:r w:rsidRPr="005575CB">
              <w:rPr>
                <w:sz w:val="18"/>
                <w:szCs w:val="18"/>
              </w:rPr>
              <w:t xml:space="preserve">Medición de la percepción del cliente respecto al servicio educativo </w:t>
            </w:r>
          </w:p>
        </w:tc>
        <w:tc>
          <w:tcPr>
            <w:tcW w:w="2268" w:type="dxa"/>
          </w:tcPr>
          <w:p w:rsidR="00186B62" w:rsidRPr="005575CB" w:rsidRDefault="00186B62" w:rsidP="005575CB">
            <w:pPr>
              <w:pStyle w:val="Prrafodelista"/>
              <w:numPr>
                <w:ilvl w:val="0"/>
                <w:numId w:val="18"/>
              </w:numPr>
              <w:jc w:val="both"/>
              <w:rPr>
                <w:sz w:val="18"/>
                <w:szCs w:val="18"/>
              </w:rPr>
            </w:pPr>
            <w:r w:rsidRPr="005575CB">
              <w:rPr>
                <w:sz w:val="18"/>
                <w:szCs w:val="18"/>
              </w:rPr>
              <w:t>Medición análisis y mejora de procesos y productos a través.</w:t>
            </w:r>
          </w:p>
          <w:p w:rsidR="00F75AC1" w:rsidRPr="005575CB" w:rsidRDefault="00186B62" w:rsidP="005575CB">
            <w:pPr>
              <w:pStyle w:val="Prrafodelista"/>
              <w:numPr>
                <w:ilvl w:val="0"/>
                <w:numId w:val="18"/>
              </w:numPr>
              <w:jc w:val="both"/>
              <w:rPr>
                <w:sz w:val="18"/>
                <w:szCs w:val="18"/>
              </w:rPr>
            </w:pPr>
            <w:r w:rsidRPr="005575CB">
              <w:rPr>
                <w:sz w:val="18"/>
                <w:szCs w:val="18"/>
              </w:rPr>
              <w:t>Medición de la percepción del cliente respecto al servicio educativo</w:t>
            </w:r>
          </w:p>
        </w:tc>
        <w:tc>
          <w:tcPr>
            <w:tcW w:w="2552" w:type="dxa"/>
          </w:tcPr>
          <w:p w:rsidR="00186B62" w:rsidRPr="005575CB" w:rsidRDefault="00186B62" w:rsidP="005575CB">
            <w:pPr>
              <w:pStyle w:val="Prrafodelista"/>
              <w:numPr>
                <w:ilvl w:val="0"/>
                <w:numId w:val="18"/>
              </w:numPr>
              <w:jc w:val="both"/>
              <w:rPr>
                <w:sz w:val="18"/>
                <w:szCs w:val="18"/>
              </w:rPr>
            </w:pPr>
            <w:r w:rsidRPr="005575CB">
              <w:rPr>
                <w:sz w:val="18"/>
                <w:szCs w:val="18"/>
              </w:rPr>
              <w:t>Medición análisis y mejora de procesos y productos a través.</w:t>
            </w:r>
          </w:p>
          <w:p w:rsidR="00F75AC1" w:rsidRPr="005575CB" w:rsidRDefault="0024184F" w:rsidP="005575CB">
            <w:pPr>
              <w:pStyle w:val="Prrafodelista"/>
              <w:numPr>
                <w:ilvl w:val="0"/>
                <w:numId w:val="18"/>
              </w:numPr>
              <w:jc w:val="both"/>
              <w:rPr>
                <w:sz w:val="18"/>
                <w:szCs w:val="18"/>
              </w:rPr>
            </w:pPr>
            <w:r w:rsidRPr="005575CB">
              <w:rPr>
                <w:sz w:val="18"/>
                <w:szCs w:val="18"/>
              </w:rPr>
              <w:t>Medición de la percepción del cliente respecto al servicio educativo</w:t>
            </w:r>
          </w:p>
        </w:tc>
        <w:tc>
          <w:tcPr>
            <w:tcW w:w="2693" w:type="dxa"/>
          </w:tcPr>
          <w:p w:rsidR="00F75AC1" w:rsidRPr="00F75AC1" w:rsidRDefault="00F75AC1" w:rsidP="005575CB">
            <w:pPr>
              <w:pStyle w:val="Prrafodelista"/>
              <w:ind w:left="227"/>
              <w:jc w:val="both"/>
            </w:pPr>
          </w:p>
        </w:tc>
      </w:tr>
    </w:tbl>
    <w:p w:rsidR="006E630A" w:rsidRDefault="006E630A" w:rsidP="001B21BC">
      <w:pPr>
        <w:tabs>
          <w:tab w:val="left" w:pos="8664"/>
        </w:tabs>
      </w:pPr>
    </w:p>
    <w:p w:rsidR="006E630A" w:rsidRDefault="006E630A" w:rsidP="001B21BC">
      <w:pPr>
        <w:tabs>
          <w:tab w:val="left" w:pos="8664"/>
        </w:tabs>
      </w:pPr>
    </w:p>
    <w:p w:rsidR="006E630A" w:rsidRDefault="006E630A" w:rsidP="001B21BC">
      <w:pPr>
        <w:tabs>
          <w:tab w:val="left" w:pos="8664"/>
        </w:tabs>
      </w:pPr>
    </w:p>
    <w:p w:rsidR="006E630A" w:rsidRPr="005575CB" w:rsidRDefault="005575CB" w:rsidP="005575CB">
      <w:pPr>
        <w:tabs>
          <w:tab w:val="left" w:pos="8664"/>
        </w:tabs>
        <w:jc w:val="center"/>
        <w:rPr>
          <w:rFonts w:ascii="Arial" w:hAnsi="Arial" w:cs="Arial"/>
          <w:b/>
        </w:rPr>
      </w:pPr>
      <w:r w:rsidRPr="005575CB">
        <w:rPr>
          <w:rFonts w:ascii="Arial" w:hAnsi="Arial" w:cs="Arial"/>
          <w:b/>
        </w:rPr>
        <w:lastRenderedPageBreak/>
        <w:t>PROCESO DE PLANEACIÓN</w:t>
      </w:r>
    </w:p>
    <w:p w:rsidR="00220867" w:rsidRDefault="00220867" w:rsidP="006E630A">
      <w:pPr>
        <w:autoSpaceDE w:val="0"/>
        <w:autoSpaceDN w:val="0"/>
        <w:adjustRightInd w:val="0"/>
        <w:jc w:val="both"/>
        <w:rPr>
          <w:rFonts w:ascii="Helvetica" w:hAnsi="Helvetica" w:cs="Helvetica"/>
          <w:sz w:val="18"/>
          <w:szCs w:val="18"/>
          <w:lang w:eastAsia="es-MX"/>
        </w:rPr>
      </w:pPr>
    </w:p>
    <w:p w:rsidR="006E630A" w:rsidRDefault="006E630A" w:rsidP="006E630A">
      <w:pPr>
        <w:autoSpaceDE w:val="0"/>
        <w:autoSpaceDN w:val="0"/>
        <w:adjustRightInd w:val="0"/>
        <w:jc w:val="both"/>
        <w:rPr>
          <w:rFonts w:ascii="Helvetica" w:hAnsi="Helvetica" w:cs="Helvetica"/>
          <w:sz w:val="18"/>
          <w:szCs w:val="18"/>
          <w:lang w:eastAsia="es-MX"/>
        </w:rPr>
      </w:pPr>
      <w:r w:rsidRPr="003A1FB9">
        <w:rPr>
          <w:rFonts w:ascii="Helvetica" w:hAnsi="Helvetica" w:cs="Helvetica"/>
          <w:sz w:val="20"/>
          <w:szCs w:val="20"/>
          <w:lang w:eastAsia="es-MX"/>
        </w:rPr>
        <w:t xml:space="preserve">El Proceso de Planeación se realiza atendiendo a los requisitos del cliente, definiéndose dos vertientes de Planeación: la Planeación de largo plazo (estratégica) en donde se genera el Programa Institucional de Innovación y Desarrollo (PIID), documento en el cual se define el rumbo del </w:t>
      </w:r>
      <w:r w:rsidR="005575CB" w:rsidRPr="003A1FB9">
        <w:rPr>
          <w:rFonts w:ascii="Helvetica" w:hAnsi="Helvetica" w:cs="Helvetica"/>
          <w:sz w:val="20"/>
          <w:szCs w:val="20"/>
          <w:lang w:eastAsia="es-MX"/>
        </w:rPr>
        <w:t>Instituto</w:t>
      </w:r>
      <w:r w:rsidRPr="003A1FB9">
        <w:rPr>
          <w:rFonts w:ascii="Helvetica" w:hAnsi="Helvetica" w:cs="Helvetica"/>
          <w:sz w:val="20"/>
          <w:szCs w:val="20"/>
          <w:lang w:eastAsia="es-MX"/>
        </w:rPr>
        <w:t xml:space="preserve"> y se establecen los objetivos estratégicos, las líneas de acción para su consecución y las metas; la Planeación de mediano y corto plazo la cual se encuentra determinada por el Programa de Trabajo Anual (PTA), concentra las actividades necesarias para el cumplimiento de las metas del PIID y el Programa Operativo Anual (POA) donde se definen los recursos necesarios para la realización del PTA. El Anteproyecto de Inversión se elabora con el fin de establecer las posibles inversiones en</w:t>
      </w:r>
      <w:r w:rsidRPr="003A1FB9">
        <w:rPr>
          <w:sz w:val="20"/>
          <w:szCs w:val="20"/>
        </w:rPr>
        <w:t xml:space="preserve"> </w:t>
      </w:r>
      <w:r w:rsidRPr="003A1FB9">
        <w:rPr>
          <w:rFonts w:ascii="Helvetica" w:hAnsi="Helvetica" w:cs="Helvetica"/>
          <w:sz w:val="20"/>
          <w:szCs w:val="20"/>
          <w:lang w:eastAsia="es-MX"/>
        </w:rPr>
        <w:t>infraestructura que el Instituto Tecnológico requiere para su operación. La Reprogramación del Programa Operativo Anual se realiza cuando por alguna circunstancia los recursos programados en él requieren ajustes y se conservan los registros correspondientes. Los documentos elaborados en este proceso como son; PIID, PTA, POA, REPOA, son elementos de entrada en los otros procesos estratégicos, dado que permiten orientar y normar en su caso las actividades necesarias para el logro de los objetivos institucionales</w:t>
      </w:r>
      <w:r w:rsidRPr="00220867">
        <w:rPr>
          <w:rFonts w:ascii="Helvetica" w:hAnsi="Helvetica" w:cs="Helvetica"/>
          <w:sz w:val="18"/>
          <w:szCs w:val="18"/>
          <w:lang w:eastAsia="es-MX"/>
        </w:rPr>
        <w:t>.</w:t>
      </w:r>
    </w:p>
    <w:p w:rsidR="00220867" w:rsidRPr="00220867" w:rsidRDefault="00220867" w:rsidP="006E630A">
      <w:pPr>
        <w:autoSpaceDE w:val="0"/>
        <w:autoSpaceDN w:val="0"/>
        <w:adjustRightInd w:val="0"/>
        <w:jc w:val="both"/>
        <w:rPr>
          <w:rFonts w:ascii="Helvetica" w:hAnsi="Helvetica" w:cs="Helvetica"/>
          <w:sz w:val="18"/>
          <w:szCs w:val="18"/>
          <w:lang w:eastAsia="es-MX"/>
        </w:rPr>
      </w:pPr>
    </w:p>
    <w:p w:rsidR="008626EC" w:rsidRDefault="00220867" w:rsidP="00220867">
      <w:pPr>
        <w:autoSpaceDE w:val="0"/>
        <w:autoSpaceDN w:val="0"/>
        <w:adjustRightInd w:val="0"/>
        <w:jc w:val="center"/>
      </w:pPr>
      <w:r>
        <w:object w:dxaOrig="10826" w:dyaOrig="5270">
          <v:shape id="_x0000_i1026" type="#_x0000_t75" style="width:548.45pt;height:315.55pt" o:ole="">
            <v:imagedata r:id="rId10" o:title=""/>
          </v:shape>
          <o:OLEObject Type="Embed" ProgID="Visio.Drawing.11" ShapeID="_x0000_i1026" DrawAspect="Content" ObjectID="_1474630672" r:id="rId11"/>
        </w:object>
      </w:r>
    </w:p>
    <w:p w:rsidR="00220867" w:rsidRDefault="00220867" w:rsidP="00220867">
      <w:pPr>
        <w:autoSpaceDE w:val="0"/>
        <w:autoSpaceDN w:val="0"/>
        <w:adjustRightInd w:val="0"/>
        <w:jc w:val="center"/>
      </w:pPr>
    </w:p>
    <w:p w:rsidR="00220867" w:rsidRDefault="00220867" w:rsidP="00220867">
      <w:pPr>
        <w:autoSpaceDE w:val="0"/>
        <w:autoSpaceDN w:val="0"/>
        <w:adjustRightInd w:val="0"/>
        <w:jc w:val="center"/>
      </w:pPr>
    </w:p>
    <w:p w:rsidR="00220867" w:rsidRDefault="003A1FB9" w:rsidP="003A1FB9">
      <w:pPr>
        <w:autoSpaceDE w:val="0"/>
        <w:autoSpaceDN w:val="0"/>
        <w:adjustRightInd w:val="0"/>
        <w:jc w:val="center"/>
        <w:rPr>
          <w:rFonts w:ascii="Arial" w:hAnsi="Arial" w:cs="Arial"/>
          <w:b/>
          <w:bCs/>
          <w:lang w:eastAsia="es-MX"/>
        </w:rPr>
      </w:pPr>
      <w:r w:rsidRPr="003A1FB9">
        <w:rPr>
          <w:rFonts w:ascii="Arial" w:hAnsi="Arial" w:cs="Arial"/>
          <w:b/>
          <w:bCs/>
          <w:lang w:eastAsia="es-MX"/>
        </w:rPr>
        <w:t>PROCESO ESTRATÉGICO ACADÉMICO.</w:t>
      </w:r>
    </w:p>
    <w:p w:rsidR="003A1FB9" w:rsidRPr="003A1FB9" w:rsidRDefault="003A1FB9" w:rsidP="003A1FB9">
      <w:pPr>
        <w:autoSpaceDE w:val="0"/>
        <w:autoSpaceDN w:val="0"/>
        <w:adjustRightInd w:val="0"/>
        <w:jc w:val="center"/>
        <w:rPr>
          <w:rFonts w:ascii="Arial" w:hAnsi="Arial" w:cs="Arial"/>
          <w:b/>
          <w:bCs/>
          <w:lang w:eastAsia="es-MX"/>
        </w:rPr>
      </w:pPr>
    </w:p>
    <w:p w:rsidR="00220867" w:rsidRPr="003A1FB9" w:rsidRDefault="00220867" w:rsidP="003A1FB9">
      <w:pPr>
        <w:autoSpaceDE w:val="0"/>
        <w:autoSpaceDN w:val="0"/>
        <w:adjustRightInd w:val="0"/>
        <w:jc w:val="both"/>
        <w:rPr>
          <w:rFonts w:ascii="Arial" w:hAnsi="Arial" w:cs="Arial"/>
          <w:sz w:val="20"/>
          <w:szCs w:val="20"/>
          <w:lang w:eastAsia="es-MX"/>
        </w:rPr>
      </w:pPr>
      <w:r w:rsidRPr="003A1FB9">
        <w:rPr>
          <w:rFonts w:ascii="Arial" w:hAnsi="Arial" w:cs="Arial"/>
          <w:sz w:val="20"/>
          <w:szCs w:val="20"/>
          <w:lang w:eastAsia="es-MX"/>
        </w:rPr>
        <w:t>La responsabilidad para la operación y eficacia de éste proceso es el Subdirector Académico. En este proceso se tienen como entradas: los requisitos del cliente definidos en el plan de estudios, así como, en las cláusulas establecidas en el contrato con el alumno el cual es firmado de común acuerdo por éste y la dirección del Instituto Tecnológico  durante el periodo de inscripciones y, a través, de la operación del procedimiento para la inscripción, a efecto de establecer los términos para la entrega del Servicio  Educativo; son insumos del proceso Académico el PIID, el PTA,</w:t>
      </w:r>
      <w:r w:rsidR="009573D3">
        <w:rPr>
          <w:rFonts w:ascii="Arial" w:hAnsi="Arial" w:cs="Arial"/>
          <w:sz w:val="20"/>
          <w:szCs w:val="20"/>
          <w:lang w:eastAsia="es-MX"/>
        </w:rPr>
        <w:t xml:space="preserve"> el POA y el A</w:t>
      </w:r>
      <w:r w:rsidRPr="003A1FB9">
        <w:rPr>
          <w:rFonts w:ascii="Arial" w:hAnsi="Arial" w:cs="Arial"/>
          <w:sz w:val="20"/>
          <w:szCs w:val="20"/>
          <w:lang w:eastAsia="es-MX"/>
        </w:rPr>
        <w:t>POA, así como, los productos del proceso de vinculación con el servicio social, visitas a empresas y la participación de los alumnos en actividades culturales y deportivas.</w:t>
      </w:r>
    </w:p>
    <w:p w:rsidR="00220867" w:rsidRPr="003A1FB9" w:rsidRDefault="00220867" w:rsidP="003A1FB9">
      <w:pPr>
        <w:autoSpaceDE w:val="0"/>
        <w:autoSpaceDN w:val="0"/>
        <w:adjustRightInd w:val="0"/>
        <w:jc w:val="both"/>
        <w:rPr>
          <w:rFonts w:ascii="Arial" w:hAnsi="Arial" w:cs="Arial"/>
          <w:sz w:val="20"/>
          <w:szCs w:val="20"/>
          <w:lang w:eastAsia="es-MX"/>
        </w:rPr>
      </w:pPr>
      <w:r w:rsidRPr="003A1FB9">
        <w:rPr>
          <w:rFonts w:ascii="Arial" w:hAnsi="Arial" w:cs="Arial"/>
          <w:sz w:val="20"/>
          <w:szCs w:val="20"/>
          <w:lang w:eastAsia="es-MX"/>
        </w:rPr>
        <w:t>Para la realización de este proceso se determina la dosificación de los planes de estudio en semestres, asignándose una carga académica al alumno, integrada ésta por la suma de todos los créditos de las materias seleccionadas en el semestre por el alumno y de acuerdo con el plan reticular de la carrera.</w:t>
      </w:r>
    </w:p>
    <w:p w:rsidR="003A1FB9" w:rsidRPr="003A1FB9" w:rsidRDefault="00220867" w:rsidP="003A1FB9">
      <w:pPr>
        <w:autoSpaceDE w:val="0"/>
        <w:autoSpaceDN w:val="0"/>
        <w:adjustRightInd w:val="0"/>
        <w:jc w:val="both"/>
        <w:rPr>
          <w:rFonts w:ascii="Arial" w:hAnsi="Arial" w:cs="Arial"/>
          <w:sz w:val="20"/>
          <w:szCs w:val="20"/>
          <w:lang w:eastAsia="es-MX"/>
        </w:rPr>
      </w:pPr>
      <w:r w:rsidRPr="003A1FB9">
        <w:rPr>
          <w:rFonts w:ascii="Arial" w:hAnsi="Arial" w:cs="Arial"/>
          <w:sz w:val="20"/>
          <w:szCs w:val="20"/>
          <w:lang w:eastAsia="es-MX"/>
        </w:rPr>
        <w:t xml:space="preserve">Cada plan de curso es elaborado por el docente responsable de la materia o asignatura y, su seguimiento se realiza a través del procedimiento del SGC para la gestión del curso, bajo la supervisión y seguimiento de los jefes de departamentos académicos, así como los resultados de las evaluaciones finales del aprendizaje las cuales son registradas en sus Kardex y conservadas por el departamento de servicios escolares </w:t>
      </w:r>
      <w:r w:rsidR="003A1FB9" w:rsidRPr="003A1FB9">
        <w:rPr>
          <w:rFonts w:ascii="Arial" w:hAnsi="Arial" w:cs="Arial"/>
          <w:sz w:val="20"/>
          <w:szCs w:val="20"/>
          <w:lang w:eastAsia="es-MX"/>
        </w:rPr>
        <w:t>del</w:t>
      </w:r>
      <w:r w:rsidRPr="003A1FB9">
        <w:rPr>
          <w:rFonts w:ascii="Arial" w:hAnsi="Arial" w:cs="Arial"/>
          <w:sz w:val="20"/>
          <w:szCs w:val="20"/>
          <w:lang w:eastAsia="es-MX"/>
        </w:rPr>
        <w:t xml:space="preserve"> Instituto Tecnológico. Una vez que el alumno ha concluido su plan de estudios realiza los trámites necesarios para la sustentación del acto de recepción profesional; al aprobar éste procede a la tramitación de su título </w:t>
      </w:r>
      <w:r w:rsidR="003A1FB9" w:rsidRPr="003A1FB9">
        <w:rPr>
          <w:rFonts w:ascii="Arial" w:hAnsi="Arial" w:cs="Arial"/>
          <w:sz w:val="20"/>
          <w:szCs w:val="20"/>
          <w:lang w:eastAsia="es-MX"/>
        </w:rPr>
        <w:t>y cédula profesional.</w:t>
      </w:r>
    </w:p>
    <w:p w:rsidR="003A1FB9" w:rsidRPr="003A1FB9" w:rsidRDefault="003A1FB9" w:rsidP="003A1FB9">
      <w:pPr>
        <w:autoSpaceDE w:val="0"/>
        <w:autoSpaceDN w:val="0"/>
        <w:adjustRightInd w:val="0"/>
        <w:jc w:val="both"/>
        <w:rPr>
          <w:rFonts w:ascii="Arial" w:hAnsi="Arial" w:cs="Arial"/>
          <w:sz w:val="20"/>
          <w:szCs w:val="20"/>
          <w:lang w:eastAsia="es-MX"/>
        </w:rPr>
      </w:pPr>
    </w:p>
    <w:p w:rsidR="003A1FB9" w:rsidRDefault="003A1FB9" w:rsidP="003A1FB9">
      <w:pPr>
        <w:autoSpaceDE w:val="0"/>
        <w:autoSpaceDN w:val="0"/>
        <w:adjustRightInd w:val="0"/>
        <w:jc w:val="both"/>
        <w:rPr>
          <w:rFonts w:ascii="Arial" w:hAnsi="Arial" w:cs="Arial"/>
          <w:sz w:val="18"/>
          <w:szCs w:val="18"/>
          <w:lang w:eastAsia="es-MX"/>
        </w:rPr>
      </w:pPr>
    </w:p>
    <w:p w:rsidR="003A1FB9" w:rsidRDefault="003A1FB9" w:rsidP="003A1FB9">
      <w:pPr>
        <w:autoSpaceDE w:val="0"/>
        <w:autoSpaceDN w:val="0"/>
        <w:adjustRightInd w:val="0"/>
        <w:jc w:val="both"/>
        <w:rPr>
          <w:rFonts w:ascii="Arial" w:hAnsi="Arial" w:cs="Arial"/>
          <w:sz w:val="18"/>
          <w:szCs w:val="18"/>
          <w:lang w:eastAsia="es-MX"/>
        </w:rPr>
      </w:pPr>
    </w:p>
    <w:p w:rsidR="003A1FB9" w:rsidRPr="003A1FB9" w:rsidRDefault="003A1FB9" w:rsidP="003A1FB9">
      <w:pPr>
        <w:autoSpaceDE w:val="0"/>
        <w:autoSpaceDN w:val="0"/>
        <w:adjustRightInd w:val="0"/>
        <w:jc w:val="center"/>
        <w:rPr>
          <w:rFonts w:ascii="Arial" w:hAnsi="Arial" w:cs="Arial"/>
          <w:lang w:eastAsia="es-MX"/>
        </w:rPr>
      </w:pPr>
      <w:r w:rsidRPr="003A1FB9">
        <w:rPr>
          <w:rFonts w:ascii="Arial" w:hAnsi="Arial" w:cs="Arial"/>
          <w:b/>
          <w:bCs/>
          <w:lang w:eastAsia="es-MX"/>
        </w:rPr>
        <w:t>PROCESO ESTRATÉGICO DE VINCULACIÓN</w:t>
      </w:r>
      <w:r w:rsidRPr="003A1FB9">
        <w:rPr>
          <w:rFonts w:ascii="Arial" w:hAnsi="Arial" w:cs="Arial"/>
          <w:lang w:eastAsia="es-MX"/>
        </w:rPr>
        <w:t>.</w:t>
      </w:r>
    </w:p>
    <w:p w:rsidR="003A1FB9" w:rsidRDefault="003A1FB9" w:rsidP="003A1FB9">
      <w:pPr>
        <w:autoSpaceDE w:val="0"/>
        <w:autoSpaceDN w:val="0"/>
        <w:adjustRightInd w:val="0"/>
        <w:rPr>
          <w:rFonts w:ascii="Arial" w:hAnsi="Arial" w:cs="Arial"/>
          <w:sz w:val="18"/>
          <w:szCs w:val="18"/>
          <w:lang w:eastAsia="es-MX"/>
        </w:rPr>
      </w:pPr>
    </w:p>
    <w:p w:rsidR="003A1FB9" w:rsidRDefault="003A1FB9" w:rsidP="003A1FB9">
      <w:pPr>
        <w:autoSpaceDE w:val="0"/>
        <w:autoSpaceDN w:val="0"/>
        <w:adjustRightInd w:val="0"/>
        <w:rPr>
          <w:rFonts w:ascii="Arial" w:hAnsi="Arial" w:cs="Arial"/>
          <w:sz w:val="18"/>
          <w:szCs w:val="18"/>
          <w:lang w:eastAsia="es-MX"/>
        </w:rPr>
      </w:pPr>
    </w:p>
    <w:p w:rsidR="003A1FB9" w:rsidRPr="003A1FB9" w:rsidRDefault="003A1FB9" w:rsidP="003A1FB9">
      <w:pPr>
        <w:autoSpaceDE w:val="0"/>
        <w:autoSpaceDN w:val="0"/>
        <w:adjustRightInd w:val="0"/>
        <w:jc w:val="both"/>
        <w:rPr>
          <w:rFonts w:ascii="Arial" w:hAnsi="Arial" w:cs="Arial"/>
          <w:sz w:val="20"/>
          <w:szCs w:val="20"/>
        </w:rPr>
      </w:pPr>
      <w:r w:rsidRPr="003A1FB9">
        <w:rPr>
          <w:rFonts w:ascii="Arial" w:hAnsi="Arial" w:cs="Arial"/>
          <w:sz w:val="20"/>
          <w:szCs w:val="20"/>
          <w:lang w:eastAsia="es-MX"/>
        </w:rPr>
        <w:t xml:space="preserve">La responsabilidad para la operación y eficacia de este proceso es del Subdirector de Planeación y Vinculación. En este proceso se tienen como entrada los requisitos del alumno, al igual que el PIID, el </w:t>
      </w:r>
      <w:r w:rsidR="009573D3">
        <w:rPr>
          <w:rFonts w:ascii="Arial" w:hAnsi="Arial" w:cs="Arial"/>
          <w:sz w:val="20"/>
          <w:szCs w:val="20"/>
          <w:lang w:eastAsia="es-MX"/>
        </w:rPr>
        <w:t>PTA, el POA y el A</w:t>
      </w:r>
      <w:r w:rsidRPr="003A1FB9">
        <w:rPr>
          <w:rFonts w:ascii="Arial" w:hAnsi="Arial" w:cs="Arial"/>
          <w:sz w:val="20"/>
          <w:szCs w:val="20"/>
          <w:lang w:eastAsia="es-MX"/>
        </w:rPr>
        <w:t xml:space="preserve">POA. Para cubrir los requisitos legales del servicio social y las visitas a empresas, las áreas académicas y de vinculación  se coordinan a efecto de proveer  a los alumnos de los elementos necesarios para que cumplan con estos requisitos institucionales considerados en el plan de estudio de cada carrera. Como parte del servicio educativo que se ofrece, la formación integral es elemento principal para dar atención a este modelo, se establece la promoción cultural y deportiva en donde se ofrecen diversas disciplinas que independientes al plan reticular de cada carrera son realizadas por los alumnos, para desarrollar en ellos habilidades adicionales a la formación profesional. Para impulsar y motivar la participación estudiantil se realizan eventos Nacionales, deportivos, de Arte y Cultura, y de Bandas de Guerra  en los cuales se concentra la participación de los alumnos más destacados en cada disciplina. </w:t>
      </w:r>
    </w:p>
    <w:p w:rsidR="006A05D4" w:rsidRDefault="0034356E" w:rsidP="003A1FB9">
      <w:pPr>
        <w:tabs>
          <w:tab w:val="left" w:pos="8664"/>
        </w:tabs>
        <w:jc w:val="both"/>
      </w:pPr>
      <w:r>
        <w:object w:dxaOrig="11676" w:dyaOrig="7156">
          <v:shape id="_x0000_i1027" type="#_x0000_t75" style="width:645.9pt;height:412.95pt" o:ole="">
            <v:imagedata r:id="rId12" o:title=""/>
          </v:shape>
          <o:OLEObject Type="Embed" ProgID="Visio.Drawing.11" ShapeID="_x0000_i1027" DrawAspect="Content" ObjectID="_1474630673" r:id="rId13"/>
        </w:object>
      </w:r>
    </w:p>
    <w:p w:rsidR="003A1FB9" w:rsidRDefault="003A1FB9" w:rsidP="006A15E8">
      <w:pPr>
        <w:tabs>
          <w:tab w:val="left" w:pos="8664"/>
        </w:tabs>
        <w:jc w:val="center"/>
      </w:pPr>
    </w:p>
    <w:p w:rsidR="003A1FB9" w:rsidRDefault="003A1FB9" w:rsidP="006A15E8">
      <w:pPr>
        <w:tabs>
          <w:tab w:val="left" w:pos="8664"/>
        </w:tabs>
        <w:jc w:val="center"/>
      </w:pPr>
    </w:p>
    <w:p w:rsidR="003A1FB9" w:rsidRDefault="003A1FB9" w:rsidP="006A15E8">
      <w:pPr>
        <w:tabs>
          <w:tab w:val="left" w:pos="8664"/>
        </w:tabs>
        <w:jc w:val="center"/>
      </w:pPr>
    </w:p>
    <w:p w:rsidR="003A1FB9" w:rsidRPr="003A1FB9" w:rsidRDefault="003A1FB9" w:rsidP="003A1FB9">
      <w:pPr>
        <w:tabs>
          <w:tab w:val="left" w:pos="8664"/>
        </w:tabs>
        <w:jc w:val="both"/>
        <w:rPr>
          <w:rFonts w:ascii="Arial" w:hAnsi="Arial" w:cs="Arial"/>
          <w:sz w:val="20"/>
          <w:szCs w:val="20"/>
        </w:rPr>
      </w:pPr>
    </w:p>
    <w:p w:rsidR="003A1FB9" w:rsidRDefault="003A1FB9" w:rsidP="003A1FB9">
      <w:pPr>
        <w:autoSpaceDE w:val="0"/>
        <w:autoSpaceDN w:val="0"/>
        <w:adjustRightInd w:val="0"/>
        <w:jc w:val="center"/>
        <w:rPr>
          <w:rFonts w:ascii="Arial" w:hAnsi="Arial" w:cs="Arial"/>
          <w:b/>
          <w:bCs/>
          <w:lang w:eastAsia="es-MX"/>
        </w:rPr>
      </w:pPr>
      <w:r>
        <w:rPr>
          <w:rFonts w:ascii="Arial" w:hAnsi="Arial" w:cs="Arial"/>
          <w:b/>
          <w:bCs/>
          <w:lang w:eastAsia="es-MX"/>
        </w:rPr>
        <w:t>PROCESO ESTRATÉGICO DE CALIDAD</w:t>
      </w:r>
    </w:p>
    <w:p w:rsidR="003A1FB9" w:rsidRPr="003A1FB9" w:rsidRDefault="003A1FB9" w:rsidP="003A1FB9">
      <w:pPr>
        <w:autoSpaceDE w:val="0"/>
        <w:autoSpaceDN w:val="0"/>
        <w:adjustRightInd w:val="0"/>
        <w:jc w:val="center"/>
        <w:rPr>
          <w:rFonts w:ascii="Arial" w:hAnsi="Arial" w:cs="Arial"/>
          <w:b/>
          <w:bCs/>
          <w:lang w:eastAsia="es-MX"/>
        </w:rPr>
      </w:pPr>
    </w:p>
    <w:p w:rsidR="003A1FB9" w:rsidRPr="003A1FB9" w:rsidRDefault="003A1FB9" w:rsidP="003A1FB9">
      <w:pPr>
        <w:autoSpaceDE w:val="0"/>
        <w:autoSpaceDN w:val="0"/>
        <w:adjustRightInd w:val="0"/>
        <w:jc w:val="both"/>
        <w:rPr>
          <w:rFonts w:ascii="Arial" w:hAnsi="Arial" w:cs="Arial"/>
          <w:sz w:val="20"/>
          <w:szCs w:val="20"/>
          <w:lang w:eastAsia="es-MX"/>
        </w:rPr>
      </w:pPr>
      <w:r w:rsidRPr="003A1FB9">
        <w:rPr>
          <w:rFonts w:ascii="Arial" w:hAnsi="Arial" w:cs="Arial"/>
          <w:sz w:val="20"/>
          <w:szCs w:val="20"/>
          <w:lang w:eastAsia="es-MX"/>
        </w:rPr>
        <w:t>La responsabilidad para la operación y eficacia de este</w:t>
      </w:r>
      <w:r>
        <w:rPr>
          <w:rFonts w:ascii="Arial" w:hAnsi="Arial" w:cs="Arial"/>
          <w:sz w:val="20"/>
          <w:szCs w:val="20"/>
          <w:lang w:eastAsia="es-MX"/>
        </w:rPr>
        <w:t xml:space="preserve"> proceso recae en el RD. </w:t>
      </w:r>
      <w:r w:rsidRPr="003A1FB9">
        <w:rPr>
          <w:rFonts w:ascii="Arial" w:hAnsi="Arial" w:cs="Arial"/>
          <w:sz w:val="20"/>
          <w:szCs w:val="20"/>
          <w:lang w:eastAsia="es-MX"/>
        </w:rPr>
        <w:t>Este proceso tiene como elementos d</w:t>
      </w:r>
      <w:r w:rsidR="009573D3">
        <w:rPr>
          <w:rFonts w:ascii="Arial" w:hAnsi="Arial" w:cs="Arial"/>
          <w:sz w:val="20"/>
          <w:szCs w:val="20"/>
          <w:lang w:eastAsia="es-MX"/>
        </w:rPr>
        <w:t>e entrada el PIID, PTA, POA y A</w:t>
      </w:r>
      <w:r w:rsidRPr="003A1FB9">
        <w:rPr>
          <w:rFonts w:ascii="Arial" w:hAnsi="Arial" w:cs="Arial"/>
          <w:sz w:val="20"/>
          <w:szCs w:val="20"/>
          <w:lang w:eastAsia="es-MX"/>
        </w:rPr>
        <w:t>POA, así como los</w:t>
      </w:r>
      <w:r>
        <w:rPr>
          <w:rFonts w:ascii="Arial" w:hAnsi="Arial" w:cs="Arial"/>
          <w:sz w:val="20"/>
          <w:szCs w:val="20"/>
          <w:lang w:eastAsia="es-MX"/>
        </w:rPr>
        <w:t xml:space="preserve"> </w:t>
      </w:r>
      <w:r w:rsidRPr="003A1FB9">
        <w:rPr>
          <w:rFonts w:ascii="Arial" w:hAnsi="Arial" w:cs="Arial"/>
          <w:sz w:val="20"/>
          <w:szCs w:val="20"/>
          <w:lang w:eastAsia="es-MX"/>
        </w:rPr>
        <w:t>resultados de la evaluación docente, encuesta para la determinación del ambiente de</w:t>
      </w:r>
      <w:r>
        <w:rPr>
          <w:rFonts w:ascii="Arial" w:hAnsi="Arial" w:cs="Arial"/>
          <w:sz w:val="20"/>
          <w:szCs w:val="20"/>
          <w:lang w:eastAsia="es-MX"/>
        </w:rPr>
        <w:t xml:space="preserve"> </w:t>
      </w:r>
      <w:r w:rsidRPr="003A1FB9">
        <w:rPr>
          <w:rFonts w:ascii="Arial" w:hAnsi="Arial" w:cs="Arial"/>
          <w:sz w:val="20"/>
          <w:szCs w:val="20"/>
          <w:lang w:eastAsia="es-MX"/>
        </w:rPr>
        <w:t>trabajo, auditorías internas, auditorias de servicio, quejas y sugerencias, la identificación y</w:t>
      </w:r>
      <w:r>
        <w:rPr>
          <w:rFonts w:ascii="Arial" w:hAnsi="Arial" w:cs="Arial"/>
          <w:sz w:val="20"/>
          <w:szCs w:val="20"/>
          <w:lang w:eastAsia="es-MX"/>
        </w:rPr>
        <w:t xml:space="preserve"> </w:t>
      </w:r>
      <w:r w:rsidRPr="003A1FB9">
        <w:rPr>
          <w:rFonts w:ascii="Arial" w:hAnsi="Arial" w:cs="Arial"/>
          <w:sz w:val="20"/>
          <w:szCs w:val="20"/>
          <w:lang w:eastAsia="es-MX"/>
        </w:rPr>
        <w:t>el control del producto no conforme.</w:t>
      </w:r>
    </w:p>
    <w:p w:rsidR="007A5ACC" w:rsidRDefault="003A1FB9" w:rsidP="003A1FB9">
      <w:pPr>
        <w:autoSpaceDE w:val="0"/>
        <w:autoSpaceDN w:val="0"/>
        <w:adjustRightInd w:val="0"/>
        <w:jc w:val="center"/>
      </w:pPr>
      <w:r w:rsidRPr="003A1FB9">
        <w:rPr>
          <w:rFonts w:ascii="Arial" w:hAnsi="Arial" w:cs="Arial"/>
          <w:sz w:val="20"/>
          <w:szCs w:val="20"/>
          <w:lang w:eastAsia="es-MX"/>
        </w:rPr>
        <w:t xml:space="preserve">Este proceso permea a todos los procesos del </w:t>
      </w:r>
      <w:r>
        <w:rPr>
          <w:rFonts w:ascii="Arial" w:hAnsi="Arial" w:cs="Arial"/>
          <w:sz w:val="20"/>
          <w:szCs w:val="20"/>
          <w:lang w:eastAsia="es-MX"/>
        </w:rPr>
        <w:t>Instituto</w:t>
      </w:r>
      <w:r w:rsidRPr="003A1FB9">
        <w:rPr>
          <w:rFonts w:ascii="Arial" w:hAnsi="Arial" w:cs="Arial"/>
          <w:sz w:val="20"/>
          <w:szCs w:val="20"/>
          <w:lang w:eastAsia="es-MX"/>
        </w:rPr>
        <w:t xml:space="preserve"> a través de la operación de los</w:t>
      </w:r>
      <w:r>
        <w:rPr>
          <w:rFonts w:ascii="Arial" w:hAnsi="Arial" w:cs="Arial"/>
          <w:sz w:val="20"/>
          <w:szCs w:val="20"/>
          <w:lang w:eastAsia="es-MX"/>
        </w:rPr>
        <w:t xml:space="preserve"> </w:t>
      </w:r>
      <w:r w:rsidRPr="003A1FB9">
        <w:rPr>
          <w:rFonts w:ascii="Arial" w:hAnsi="Arial" w:cs="Arial"/>
          <w:sz w:val="20"/>
          <w:szCs w:val="20"/>
          <w:lang w:eastAsia="es-MX"/>
        </w:rPr>
        <w:t>procedimientos gobernadores; control de do</w:t>
      </w:r>
      <w:r>
        <w:rPr>
          <w:rFonts w:ascii="Arial" w:hAnsi="Arial" w:cs="Arial"/>
          <w:sz w:val="20"/>
          <w:szCs w:val="20"/>
          <w:lang w:eastAsia="es-MX"/>
        </w:rPr>
        <w:t xml:space="preserve">cumentos, control de registros, </w:t>
      </w:r>
      <w:r w:rsidRPr="003A1FB9">
        <w:rPr>
          <w:rFonts w:ascii="Arial" w:hAnsi="Arial" w:cs="Arial"/>
          <w:sz w:val="20"/>
          <w:szCs w:val="20"/>
          <w:lang w:eastAsia="es-MX"/>
        </w:rPr>
        <w:t>auditorías</w:t>
      </w:r>
      <w:r>
        <w:rPr>
          <w:rFonts w:ascii="Arial" w:hAnsi="Arial" w:cs="Arial"/>
          <w:sz w:val="20"/>
          <w:szCs w:val="20"/>
          <w:lang w:eastAsia="es-MX"/>
        </w:rPr>
        <w:t xml:space="preserve"> </w:t>
      </w:r>
      <w:r w:rsidRPr="003A1FB9">
        <w:rPr>
          <w:rFonts w:ascii="Arial" w:hAnsi="Arial" w:cs="Arial"/>
          <w:sz w:val="20"/>
          <w:szCs w:val="20"/>
          <w:lang w:eastAsia="es-MX"/>
        </w:rPr>
        <w:t>internas, control del producto no conforme, acciones correctivas y acciones preventivas,</w:t>
      </w:r>
      <w:r>
        <w:rPr>
          <w:rFonts w:ascii="Arial" w:hAnsi="Arial" w:cs="Arial"/>
          <w:sz w:val="20"/>
          <w:szCs w:val="20"/>
          <w:lang w:eastAsia="es-MX"/>
        </w:rPr>
        <w:t xml:space="preserve"> </w:t>
      </w:r>
      <w:r w:rsidRPr="003A1FB9">
        <w:rPr>
          <w:rFonts w:ascii="Arial" w:hAnsi="Arial" w:cs="Arial"/>
          <w:sz w:val="20"/>
          <w:szCs w:val="20"/>
          <w:lang w:eastAsia="es-MX"/>
        </w:rPr>
        <w:t>así como, con la aplicación de los procedimientos operativos, quejas y sugerencias,</w:t>
      </w:r>
      <w:r>
        <w:rPr>
          <w:rFonts w:ascii="Arial" w:hAnsi="Arial" w:cs="Arial"/>
          <w:sz w:val="20"/>
          <w:szCs w:val="20"/>
          <w:lang w:eastAsia="es-MX"/>
        </w:rPr>
        <w:t xml:space="preserve"> </w:t>
      </w:r>
      <w:r w:rsidRPr="003A1FB9">
        <w:rPr>
          <w:rFonts w:ascii="Arial" w:hAnsi="Arial" w:cs="Arial"/>
          <w:sz w:val="20"/>
          <w:szCs w:val="20"/>
          <w:lang w:eastAsia="es-MX"/>
        </w:rPr>
        <w:t>aplicación de instrumentos de evaluación, formación y desarrollo de directivos y/o personal</w:t>
      </w:r>
      <w:r>
        <w:rPr>
          <w:rFonts w:ascii="Arial" w:hAnsi="Arial" w:cs="Arial"/>
          <w:sz w:val="20"/>
          <w:szCs w:val="20"/>
          <w:lang w:eastAsia="es-MX"/>
        </w:rPr>
        <w:t xml:space="preserve"> </w:t>
      </w:r>
      <w:r w:rsidRPr="003A1FB9">
        <w:rPr>
          <w:rFonts w:ascii="Arial" w:hAnsi="Arial" w:cs="Arial"/>
          <w:sz w:val="20"/>
          <w:szCs w:val="20"/>
          <w:lang w:eastAsia="es-MX"/>
        </w:rPr>
        <w:t>de apoyo a la educación del SNEST, debido a que los resultados derivados de su</w:t>
      </w:r>
      <w:r>
        <w:rPr>
          <w:rFonts w:ascii="Arial" w:hAnsi="Arial" w:cs="Arial"/>
          <w:sz w:val="20"/>
          <w:szCs w:val="20"/>
          <w:lang w:eastAsia="es-MX"/>
        </w:rPr>
        <w:t xml:space="preserve"> </w:t>
      </w:r>
      <w:r w:rsidRPr="003A1FB9">
        <w:rPr>
          <w:rFonts w:ascii="Arial" w:hAnsi="Arial" w:cs="Arial"/>
          <w:sz w:val="20"/>
          <w:szCs w:val="20"/>
          <w:lang w:eastAsia="es-MX"/>
        </w:rPr>
        <w:t>operación y seguimiento se analizan durante las Revisiones por la Dirección, así como, la</w:t>
      </w:r>
      <w:r>
        <w:rPr>
          <w:rFonts w:ascii="Arial" w:hAnsi="Arial" w:cs="Arial"/>
          <w:sz w:val="20"/>
          <w:szCs w:val="20"/>
          <w:lang w:eastAsia="es-MX"/>
        </w:rPr>
        <w:t xml:space="preserve"> </w:t>
      </w:r>
      <w:r w:rsidRPr="003A1FB9">
        <w:rPr>
          <w:rFonts w:ascii="Arial" w:hAnsi="Arial" w:cs="Arial"/>
          <w:sz w:val="20"/>
          <w:szCs w:val="20"/>
          <w:lang w:eastAsia="es-MX"/>
        </w:rPr>
        <w:t>medición de los indicadores de cada proceso con el fin de verificar su desempeño y</w:t>
      </w:r>
      <w:r>
        <w:rPr>
          <w:rFonts w:ascii="Arial" w:hAnsi="Arial" w:cs="Arial"/>
          <w:sz w:val="20"/>
          <w:szCs w:val="20"/>
          <w:lang w:eastAsia="es-MX"/>
        </w:rPr>
        <w:t xml:space="preserve"> </w:t>
      </w:r>
      <w:r w:rsidRPr="003A1FB9">
        <w:rPr>
          <w:rFonts w:ascii="Arial" w:hAnsi="Arial" w:cs="Arial"/>
          <w:sz w:val="20"/>
          <w:szCs w:val="20"/>
          <w:lang w:eastAsia="es-MX"/>
        </w:rPr>
        <w:t>eficacia para la toma de decisiones e implantación de acciones encaminadas al enfoque</w:t>
      </w:r>
      <w:r>
        <w:rPr>
          <w:rFonts w:ascii="Arial" w:hAnsi="Arial" w:cs="Arial"/>
          <w:sz w:val="20"/>
          <w:szCs w:val="20"/>
          <w:lang w:eastAsia="es-MX"/>
        </w:rPr>
        <w:t xml:space="preserve"> </w:t>
      </w:r>
      <w:r w:rsidRPr="003A1FB9">
        <w:rPr>
          <w:rFonts w:ascii="Arial" w:hAnsi="Arial" w:cs="Arial"/>
          <w:sz w:val="20"/>
          <w:szCs w:val="20"/>
          <w:lang w:eastAsia="es-MX"/>
        </w:rPr>
        <w:t>de cliente y a la mejora continua</w:t>
      </w:r>
      <w:r>
        <w:rPr>
          <w:rFonts w:ascii="Helvetica" w:hAnsi="Helvetica" w:cs="Helvetica"/>
          <w:lang w:eastAsia="es-MX"/>
        </w:rPr>
        <w:t>.</w:t>
      </w:r>
      <w:r>
        <w:object w:dxaOrig="11393" w:dyaOrig="6614">
          <v:shape id="_x0000_i1028" type="#_x0000_t75" style="width:482.8pt;height:326.1pt" o:ole="">
            <v:imagedata r:id="rId14" o:title=""/>
          </v:shape>
          <o:OLEObject Type="Embed" ProgID="Visio.Drawing.11" ShapeID="_x0000_i1028" DrawAspect="Content" ObjectID="_1474630674" r:id="rId15"/>
        </w:object>
      </w:r>
    </w:p>
    <w:p w:rsidR="003A1FB9" w:rsidRDefault="003A1FB9" w:rsidP="003A1FB9">
      <w:pPr>
        <w:autoSpaceDE w:val="0"/>
        <w:autoSpaceDN w:val="0"/>
        <w:adjustRightInd w:val="0"/>
        <w:jc w:val="center"/>
        <w:rPr>
          <w:rFonts w:ascii="Arial" w:hAnsi="Arial" w:cs="Arial"/>
          <w:b/>
          <w:bCs/>
          <w:lang w:eastAsia="es-MX"/>
        </w:rPr>
      </w:pPr>
      <w:r w:rsidRPr="003A1FB9">
        <w:rPr>
          <w:rFonts w:ascii="Arial" w:hAnsi="Arial" w:cs="Arial"/>
          <w:b/>
          <w:bCs/>
          <w:lang w:eastAsia="es-MX"/>
        </w:rPr>
        <w:lastRenderedPageBreak/>
        <w:t>PROCESO ESTRATÉGICO DE ADMINISTRACIÓN DE LOS RECURSOS.</w:t>
      </w:r>
    </w:p>
    <w:p w:rsidR="003A1FB9" w:rsidRPr="003A1FB9" w:rsidRDefault="003A1FB9" w:rsidP="003A1FB9">
      <w:pPr>
        <w:autoSpaceDE w:val="0"/>
        <w:autoSpaceDN w:val="0"/>
        <w:adjustRightInd w:val="0"/>
        <w:jc w:val="center"/>
        <w:rPr>
          <w:rFonts w:ascii="Arial" w:hAnsi="Arial" w:cs="Arial"/>
          <w:b/>
          <w:bCs/>
          <w:lang w:eastAsia="es-MX"/>
        </w:rPr>
      </w:pPr>
    </w:p>
    <w:p w:rsidR="003A1FB9" w:rsidRDefault="003A1FB9" w:rsidP="003A1FB9">
      <w:pPr>
        <w:autoSpaceDE w:val="0"/>
        <w:autoSpaceDN w:val="0"/>
        <w:adjustRightInd w:val="0"/>
        <w:jc w:val="both"/>
        <w:rPr>
          <w:rFonts w:ascii="Helvetica" w:hAnsi="Helvetica" w:cs="Helvetica"/>
          <w:sz w:val="20"/>
          <w:szCs w:val="20"/>
          <w:lang w:eastAsia="es-MX"/>
        </w:rPr>
      </w:pPr>
      <w:r w:rsidRPr="003A1FB9">
        <w:rPr>
          <w:rFonts w:ascii="Helvetica" w:hAnsi="Helvetica" w:cs="Helvetica"/>
          <w:sz w:val="20"/>
          <w:szCs w:val="20"/>
          <w:lang w:eastAsia="es-MX"/>
        </w:rPr>
        <w:t>La responsabilidad para la operación y eficacia de este proceso es del Subdirector de Servicios Administrativos.</w:t>
      </w:r>
      <w:r>
        <w:rPr>
          <w:rFonts w:ascii="Helvetica" w:hAnsi="Helvetica" w:cs="Helvetica"/>
          <w:sz w:val="20"/>
          <w:szCs w:val="20"/>
          <w:lang w:eastAsia="es-MX"/>
        </w:rPr>
        <w:t xml:space="preserve"> </w:t>
      </w:r>
      <w:r w:rsidRPr="003A1FB9">
        <w:rPr>
          <w:rFonts w:ascii="Helvetica" w:hAnsi="Helvetica" w:cs="Helvetica"/>
          <w:sz w:val="20"/>
          <w:szCs w:val="20"/>
          <w:lang w:eastAsia="es-MX"/>
        </w:rPr>
        <w:t xml:space="preserve">Este proceso tiene como elementos de entrada el PIID, el PTA, el POA y el REPOA, así como la captación de los </w:t>
      </w:r>
      <w:r>
        <w:rPr>
          <w:rFonts w:ascii="Helvetica" w:hAnsi="Helvetica" w:cs="Helvetica"/>
          <w:sz w:val="20"/>
          <w:szCs w:val="20"/>
          <w:lang w:eastAsia="es-MX"/>
        </w:rPr>
        <w:t xml:space="preserve">Ingresos para su operación, </w:t>
      </w:r>
      <w:r w:rsidRPr="003A1FB9">
        <w:rPr>
          <w:rFonts w:ascii="Helvetica" w:hAnsi="Helvetica" w:cs="Helvetica"/>
          <w:sz w:val="20"/>
          <w:szCs w:val="20"/>
          <w:lang w:eastAsia="es-MX"/>
        </w:rPr>
        <w:t>el ejercicio del gasto federal y de las compras directas. En este proceso se realiza el reclutamiento, selección y contratación del personal, movimientos del personal, mantenimiento y conservación de la infraestructura y es a través de este proceso como se suministran los recursos humanos, financieros y materiales a los otros procesos.</w:t>
      </w:r>
    </w:p>
    <w:p w:rsidR="003A1FB9" w:rsidRDefault="003A1FB9" w:rsidP="003A1FB9">
      <w:pPr>
        <w:autoSpaceDE w:val="0"/>
        <w:autoSpaceDN w:val="0"/>
        <w:adjustRightInd w:val="0"/>
        <w:jc w:val="both"/>
        <w:rPr>
          <w:rFonts w:ascii="Helvetica" w:hAnsi="Helvetica" w:cs="Helvetica"/>
          <w:sz w:val="20"/>
          <w:szCs w:val="20"/>
          <w:lang w:eastAsia="es-MX"/>
        </w:rPr>
      </w:pPr>
    </w:p>
    <w:p w:rsidR="006A05D4" w:rsidRDefault="00FF43EE" w:rsidP="003A1FB9">
      <w:pPr>
        <w:autoSpaceDE w:val="0"/>
        <w:autoSpaceDN w:val="0"/>
        <w:adjustRightInd w:val="0"/>
        <w:jc w:val="center"/>
      </w:pPr>
      <w:r>
        <w:object w:dxaOrig="10826" w:dyaOrig="5270">
          <v:shape id="_x0000_i1029" type="#_x0000_t75" style="width:569.65pt;height:328.25pt" o:ole="">
            <v:imagedata r:id="rId16" o:title=""/>
          </v:shape>
          <o:OLEObject Type="Embed" ProgID="Visio.Drawing.11" ShapeID="_x0000_i1029" DrawAspect="Content" ObjectID="_1474630675" r:id="rId17"/>
        </w:object>
      </w:r>
    </w:p>
    <w:p w:rsidR="00FF43EE" w:rsidRDefault="00FF43EE" w:rsidP="00FF43EE">
      <w:pPr>
        <w:autoSpaceDE w:val="0"/>
        <w:autoSpaceDN w:val="0"/>
        <w:adjustRightInd w:val="0"/>
        <w:rPr>
          <w:rFonts w:ascii="Helvetica-Bold" w:hAnsi="Helvetica-Bold" w:cs="Helvetica-Bold"/>
          <w:b/>
          <w:bCs/>
          <w:lang w:eastAsia="es-MX"/>
        </w:rPr>
      </w:pPr>
    </w:p>
    <w:p w:rsidR="00FF43EE" w:rsidRPr="00FF43EE" w:rsidRDefault="00FF43EE" w:rsidP="00FF43EE">
      <w:pPr>
        <w:autoSpaceDE w:val="0"/>
        <w:autoSpaceDN w:val="0"/>
        <w:adjustRightInd w:val="0"/>
        <w:rPr>
          <w:rFonts w:ascii="Arial" w:hAnsi="Arial" w:cs="Arial"/>
        </w:rPr>
      </w:pPr>
      <w:r w:rsidRPr="00FF43EE">
        <w:rPr>
          <w:rFonts w:ascii="Arial" w:hAnsi="Arial" w:cs="Arial"/>
          <w:b/>
          <w:bCs/>
          <w:lang w:eastAsia="es-MX"/>
        </w:rPr>
        <w:t xml:space="preserve">La Satisfacción del Cliente, </w:t>
      </w:r>
      <w:r w:rsidRPr="00FF43EE">
        <w:rPr>
          <w:rFonts w:ascii="Arial" w:hAnsi="Arial" w:cs="Arial"/>
          <w:lang w:eastAsia="es-MX"/>
        </w:rPr>
        <w:t>se logra una vez que ha concluido la formación profesional y se obtiene el título profesional.</w:t>
      </w:r>
    </w:p>
    <w:sectPr w:rsidR="00FF43EE" w:rsidRPr="00FF43EE" w:rsidSect="005575CB">
      <w:headerReference w:type="default" r:id="rId18"/>
      <w:footerReference w:type="default" r:id="rId19"/>
      <w:pgSz w:w="15840" w:h="12240" w:orient="landscape"/>
      <w:pgMar w:top="212" w:right="720" w:bottom="720" w:left="720" w:header="720" w:footer="720" w:gutter="0"/>
      <w:cols w:space="708"/>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731" w:rsidRDefault="003B5731">
      <w:r>
        <w:separator/>
      </w:r>
    </w:p>
  </w:endnote>
  <w:endnote w:type="continuationSeparator" w:id="0">
    <w:p w:rsidR="003B5731" w:rsidRDefault="003B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Bold">
    <w:altName w:val="Helvetic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E1D" w:rsidRDefault="00CF3A05">
    <w:pPr>
      <w:pStyle w:val="Piedepgina"/>
      <w:rPr>
        <w:rFonts w:ascii="Arial" w:hAnsi="Arial" w:cs="Arial"/>
        <w:b/>
        <w:sz w:val="20"/>
        <w:szCs w:val="20"/>
      </w:rPr>
    </w:pPr>
    <w:r w:rsidRPr="002C44DB">
      <w:rPr>
        <w:rFonts w:cs="Arial"/>
        <w:b/>
        <w:sz w:val="22"/>
        <w:szCs w:val="22"/>
      </w:rPr>
      <w:t>ITC</w:t>
    </w:r>
    <w:r w:rsidR="00BF5183" w:rsidRPr="002C44DB">
      <w:rPr>
        <w:rFonts w:cs="Arial"/>
        <w:b/>
        <w:sz w:val="22"/>
        <w:szCs w:val="22"/>
      </w:rPr>
      <w:t>-CA-MC-001</w:t>
    </w:r>
    <w:r w:rsidR="000D3E1D" w:rsidRPr="00FF43EE">
      <w:rPr>
        <w:rFonts w:cs="Arial"/>
        <w:b/>
        <w:sz w:val="22"/>
        <w:szCs w:val="22"/>
      </w:rPr>
      <w:tab/>
    </w:r>
    <w:r w:rsidR="00FF43EE" w:rsidRPr="00FF43EE">
      <w:rPr>
        <w:rFonts w:cs="Arial"/>
        <w:b/>
        <w:sz w:val="22"/>
        <w:szCs w:val="22"/>
      </w:rPr>
      <w:t>-06</w:t>
    </w:r>
    <w:r w:rsidR="000D3E1D">
      <w:rPr>
        <w:rFonts w:ascii="Arial" w:hAnsi="Arial" w:cs="Arial"/>
        <w:b/>
        <w:sz w:val="20"/>
        <w:szCs w:val="20"/>
      </w:rPr>
      <w:t xml:space="preserve">          </w:t>
    </w:r>
    <w:r w:rsidR="000D3E1D">
      <w:rPr>
        <w:rFonts w:ascii="Arial" w:hAnsi="Arial" w:cs="Arial"/>
        <w:b/>
        <w:bCs/>
        <w:sz w:val="20"/>
        <w:szCs w:val="20"/>
      </w:rPr>
      <w:t>Toda copia en PAPEL es un “Documento No Controlado” a excepción del original.</w:t>
    </w:r>
    <w:r w:rsidR="000D3E1D">
      <w:rPr>
        <w:rFonts w:ascii="Arial" w:hAnsi="Arial" w:cs="Arial"/>
        <w:b/>
        <w:sz w:val="20"/>
        <w:szCs w:val="20"/>
      </w:rPr>
      <w:t xml:space="preserve">        </w:t>
    </w:r>
    <w:r w:rsidR="00E30467">
      <w:rPr>
        <w:rFonts w:ascii="Arial" w:hAnsi="Arial" w:cs="Arial"/>
        <w:b/>
        <w:sz w:val="20"/>
        <w:szCs w:val="20"/>
      </w:rPr>
      <w:t xml:space="preserve"> </w:t>
    </w:r>
    <w:r w:rsidR="00FF43EE">
      <w:rPr>
        <w:rFonts w:ascii="Arial" w:hAnsi="Arial" w:cs="Arial"/>
        <w:b/>
        <w:sz w:val="20"/>
        <w:szCs w:val="20"/>
      </w:rPr>
      <w:t xml:space="preserve">                         Rev. 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731" w:rsidRDefault="003B5731">
      <w:r>
        <w:separator/>
      </w:r>
    </w:p>
  </w:footnote>
  <w:footnote w:type="continuationSeparator" w:id="0">
    <w:p w:rsidR="003B5731" w:rsidRDefault="003B573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891" w:type="dxa"/>
      <w:tblInd w:w="496"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CellMar>
        <w:left w:w="70" w:type="dxa"/>
        <w:right w:w="70" w:type="dxa"/>
      </w:tblCellMar>
      <w:tblLook w:val="0000" w:firstRow="0" w:lastRow="0" w:firstColumn="0" w:lastColumn="0" w:noHBand="0" w:noVBand="0"/>
    </w:tblPr>
    <w:tblGrid>
      <w:gridCol w:w="2409"/>
      <w:gridCol w:w="8364"/>
      <w:gridCol w:w="3118"/>
    </w:tblGrid>
    <w:tr w:rsidR="000D3E1D" w:rsidTr="001067E6">
      <w:trPr>
        <w:cantSplit/>
        <w:trHeight w:val="134"/>
      </w:trPr>
      <w:tc>
        <w:tcPr>
          <w:tcW w:w="2409" w:type="dxa"/>
          <w:vMerge w:val="restart"/>
          <w:vAlign w:val="center"/>
        </w:tcPr>
        <w:p w:rsidR="000D3E1D" w:rsidRPr="00B72DD4" w:rsidRDefault="002C44DB">
          <w:pPr>
            <w:pStyle w:val="Encabezado"/>
            <w:jc w:val="center"/>
            <w:rPr>
              <w:rFonts w:ascii="Arial" w:hAnsi="Arial" w:cs="Arial"/>
              <w:color w:val="FF0000"/>
            </w:rPr>
          </w:pPr>
          <w:r>
            <w:rPr>
              <w:rFonts w:ascii="Arial" w:hAnsi="Arial" w:cs="Arial"/>
              <w:noProof/>
              <w:color w:val="FF0000"/>
              <w:lang w:val="es-ES"/>
            </w:rPr>
            <w:drawing>
              <wp:anchor distT="0" distB="0" distL="114300" distR="114300" simplePos="0" relativeHeight="251657728" behindDoc="0" locked="0" layoutInCell="1" allowOverlap="1">
                <wp:simplePos x="0" y="0"/>
                <wp:positionH relativeFrom="column">
                  <wp:posOffset>424815</wp:posOffset>
                </wp:positionH>
                <wp:positionV relativeFrom="paragraph">
                  <wp:posOffset>-4445</wp:posOffset>
                </wp:positionV>
                <wp:extent cx="393700" cy="601980"/>
                <wp:effectExtent l="19050" t="0" r="6350" b="0"/>
                <wp:wrapThrough wrapText="bothSides">
                  <wp:wrapPolygon edited="0">
                    <wp:start x="-1045" y="0"/>
                    <wp:lineTo x="-1045" y="21190"/>
                    <wp:lineTo x="21948" y="21190"/>
                    <wp:lineTo x="21948" y="0"/>
                    <wp:lineTo x="-1045" y="0"/>
                  </wp:wrapPolygon>
                </wp:wrapThrough>
                <wp:docPr id="1" name="Imagen 1" descr="Logo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ec"/>
                        <pic:cNvPicPr>
                          <a:picLocks noChangeAspect="1" noChangeArrowheads="1"/>
                        </pic:cNvPicPr>
                      </pic:nvPicPr>
                      <pic:blipFill>
                        <a:blip r:embed="rId1"/>
                        <a:srcRect/>
                        <a:stretch>
                          <a:fillRect/>
                        </a:stretch>
                      </pic:blipFill>
                      <pic:spPr bwMode="auto">
                        <a:xfrm>
                          <a:off x="0" y="0"/>
                          <a:ext cx="393700" cy="601980"/>
                        </a:xfrm>
                        <a:prstGeom prst="rect">
                          <a:avLst/>
                        </a:prstGeom>
                        <a:noFill/>
                        <a:ln w="9525">
                          <a:noFill/>
                          <a:miter lim="800000"/>
                          <a:headEnd/>
                          <a:tailEnd/>
                        </a:ln>
                      </pic:spPr>
                    </pic:pic>
                  </a:graphicData>
                </a:graphic>
              </wp:anchor>
            </w:drawing>
          </w:r>
        </w:p>
      </w:tc>
      <w:tc>
        <w:tcPr>
          <w:tcW w:w="8364" w:type="dxa"/>
          <w:vMerge w:val="restart"/>
          <w:vAlign w:val="center"/>
        </w:tcPr>
        <w:p w:rsidR="000D3E1D" w:rsidRDefault="000D3E1D" w:rsidP="00BF5183">
          <w:pPr>
            <w:pStyle w:val="Piedepgina"/>
            <w:jc w:val="center"/>
            <w:rPr>
              <w:rFonts w:ascii="Arial" w:hAnsi="Arial" w:cs="Arial"/>
              <w:b/>
              <w:sz w:val="22"/>
              <w:szCs w:val="22"/>
            </w:rPr>
          </w:pPr>
          <w:r>
            <w:rPr>
              <w:rFonts w:ascii="Arial" w:hAnsi="Arial" w:cs="Arial"/>
              <w:b/>
              <w:sz w:val="22"/>
              <w:szCs w:val="22"/>
            </w:rPr>
            <w:t>A</w:t>
          </w:r>
          <w:r w:rsidR="006A15E8">
            <w:rPr>
              <w:rFonts w:ascii="Arial" w:hAnsi="Arial" w:cs="Arial"/>
              <w:b/>
              <w:sz w:val="22"/>
              <w:szCs w:val="22"/>
            </w:rPr>
            <w:t>nexo</w:t>
          </w:r>
          <w:r>
            <w:rPr>
              <w:rFonts w:ascii="Arial" w:hAnsi="Arial" w:cs="Arial"/>
              <w:b/>
              <w:sz w:val="22"/>
              <w:szCs w:val="22"/>
            </w:rPr>
            <w:t xml:space="preserve"> </w:t>
          </w:r>
          <w:r w:rsidR="001B21BC">
            <w:rPr>
              <w:rFonts w:ascii="Arial" w:hAnsi="Arial" w:cs="Arial"/>
              <w:b/>
              <w:sz w:val="22"/>
              <w:szCs w:val="22"/>
            </w:rPr>
            <w:t>6</w:t>
          </w:r>
          <w:r>
            <w:rPr>
              <w:rFonts w:ascii="Arial" w:hAnsi="Arial" w:cs="Arial"/>
              <w:b/>
              <w:sz w:val="22"/>
              <w:szCs w:val="22"/>
            </w:rPr>
            <w:t xml:space="preserve">   </w:t>
          </w:r>
          <w:r w:rsidR="006A15E8">
            <w:rPr>
              <w:rFonts w:ascii="Arial" w:hAnsi="Arial" w:cs="Arial"/>
              <w:b/>
              <w:sz w:val="22"/>
              <w:szCs w:val="22"/>
            </w:rPr>
            <w:t xml:space="preserve">Mapa </w:t>
          </w:r>
          <w:r w:rsidR="00BF5183">
            <w:rPr>
              <w:rFonts w:ascii="Arial" w:hAnsi="Arial" w:cs="Arial"/>
              <w:b/>
              <w:sz w:val="22"/>
              <w:szCs w:val="22"/>
            </w:rPr>
            <w:t xml:space="preserve">e interacción de procesos </w:t>
          </w:r>
        </w:p>
      </w:tc>
      <w:tc>
        <w:tcPr>
          <w:tcW w:w="3118" w:type="dxa"/>
          <w:vAlign w:val="center"/>
        </w:tcPr>
        <w:p w:rsidR="000D3E1D" w:rsidRDefault="000D3E1D">
          <w:pPr>
            <w:pStyle w:val="Piedepgina"/>
            <w:rPr>
              <w:rFonts w:ascii="Arial" w:hAnsi="Arial" w:cs="Arial"/>
              <w:b/>
              <w:sz w:val="22"/>
              <w:szCs w:val="22"/>
              <w:lang w:val="en-GB"/>
            </w:rPr>
          </w:pPr>
          <w:r>
            <w:rPr>
              <w:rFonts w:ascii="Arial" w:hAnsi="Arial" w:cs="Arial"/>
              <w:b/>
              <w:sz w:val="22"/>
              <w:szCs w:val="22"/>
            </w:rPr>
            <w:t>Código</w:t>
          </w:r>
          <w:r w:rsidR="006A15E8">
            <w:rPr>
              <w:rFonts w:ascii="Arial" w:hAnsi="Arial" w:cs="Arial"/>
              <w:b/>
              <w:sz w:val="22"/>
              <w:szCs w:val="22"/>
              <w:lang w:val="en-GB"/>
            </w:rPr>
            <w:t xml:space="preserve">: </w:t>
          </w:r>
          <w:r w:rsidR="00CF3A05">
            <w:rPr>
              <w:rFonts w:cs="Arial"/>
              <w:b/>
              <w:sz w:val="22"/>
              <w:szCs w:val="22"/>
              <w:lang w:val="en-US"/>
            </w:rPr>
            <w:t>ITC</w:t>
          </w:r>
          <w:r w:rsidR="001067E6">
            <w:rPr>
              <w:rFonts w:cs="Arial"/>
              <w:b/>
              <w:sz w:val="22"/>
              <w:szCs w:val="22"/>
              <w:lang w:val="en-US"/>
            </w:rPr>
            <w:t>-CA-MC-001</w:t>
          </w:r>
          <w:r w:rsidR="002C2D09">
            <w:rPr>
              <w:rFonts w:cs="Arial"/>
              <w:b/>
              <w:sz w:val="22"/>
              <w:szCs w:val="22"/>
              <w:lang w:val="en-US"/>
            </w:rPr>
            <w:t>-06</w:t>
          </w:r>
        </w:p>
      </w:tc>
    </w:tr>
    <w:tr w:rsidR="000D3E1D" w:rsidTr="001067E6">
      <w:trPr>
        <w:cantSplit/>
        <w:trHeight w:val="144"/>
      </w:trPr>
      <w:tc>
        <w:tcPr>
          <w:tcW w:w="2409" w:type="dxa"/>
          <w:vMerge/>
        </w:tcPr>
        <w:p w:rsidR="000D3E1D" w:rsidRDefault="000D3E1D">
          <w:pPr>
            <w:pStyle w:val="Encabezado"/>
            <w:rPr>
              <w:rFonts w:ascii="Arial" w:hAnsi="Arial" w:cs="Arial"/>
              <w:lang w:val="en-GB"/>
            </w:rPr>
          </w:pPr>
        </w:p>
      </w:tc>
      <w:tc>
        <w:tcPr>
          <w:tcW w:w="8364" w:type="dxa"/>
          <w:vMerge/>
        </w:tcPr>
        <w:p w:rsidR="000D3E1D" w:rsidRDefault="000D3E1D">
          <w:pPr>
            <w:jc w:val="center"/>
            <w:rPr>
              <w:rFonts w:ascii="Arial" w:hAnsi="Arial" w:cs="Arial"/>
              <w:sz w:val="22"/>
              <w:szCs w:val="22"/>
              <w:lang w:val="en-GB"/>
            </w:rPr>
          </w:pPr>
        </w:p>
      </w:tc>
      <w:tc>
        <w:tcPr>
          <w:tcW w:w="3118" w:type="dxa"/>
          <w:vAlign w:val="center"/>
        </w:tcPr>
        <w:p w:rsidR="000D3E1D" w:rsidRDefault="00FF43EE">
          <w:pPr>
            <w:rPr>
              <w:rFonts w:ascii="Arial" w:hAnsi="Arial" w:cs="Arial"/>
              <w:b/>
              <w:sz w:val="22"/>
              <w:szCs w:val="22"/>
            </w:rPr>
          </w:pPr>
          <w:r>
            <w:rPr>
              <w:rFonts w:ascii="Arial" w:hAnsi="Arial" w:cs="Arial"/>
              <w:b/>
              <w:sz w:val="22"/>
              <w:szCs w:val="22"/>
            </w:rPr>
            <w:t>Revisión: 1</w:t>
          </w:r>
        </w:p>
      </w:tc>
    </w:tr>
    <w:tr w:rsidR="000D3E1D" w:rsidTr="001067E6">
      <w:trPr>
        <w:cantSplit/>
        <w:trHeight w:val="155"/>
      </w:trPr>
      <w:tc>
        <w:tcPr>
          <w:tcW w:w="2409" w:type="dxa"/>
          <w:vMerge/>
        </w:tcPr>
        <w:p w:rsidR="000D3E1D" w:rsidRDefault="000D3E1D">
          <w:pPr>
            <w:pStyle w:val="Encabezado"/>
            <w:rPr>
              <w:rFonts w:ascii="Arial" w:hAnsi="Arial" w:cs="Arial"/>
            </w:rPr>
          </w:pPr>
        </w:p>
      </w:tc>
      <w:tc>
        <w:tcPr>
          <w:tcW w:w="8364" w:type="dxa"/>
        </w:tcPr>
        <w:p w:rsidR="000D3E1D" w:rsidRDefault="000D3E1D">
          <w:pPr>
            <w:pStyle w:val="Encabezado"/>
            <w:jc w:val="center"/>
            <w:rPr>
              <w:rFonts w:ascii="Arial" w:hAnsi="Arial" w:cs="Arial"/>
              <w:b/>
              <w:sz w:val="22"/>
              <w:szCs w:val="22"/>
            </w:rPr>
          </w:pPr>
          <w:r>
            <w:rPr>
              <w:rFonts w:ascii="Arial" w:hAnsi="Arial" w:cs="Arial"/>
              <w:b/>
              <w:sz w:val="22"/>
              <w:szCs w:val="22"/>
            </w:rPr>
            <w:t>Referencia a la Norma ISO</w:t>
          </w:r>
          <w:r w:rsidR="00B72DD4">
            <w:rPr>
              <w:rFonts w:ascii="Arial" w:hAnsi="Arial" w:cs="Arial"/>
              <w:b/>
              <w:sz w:val="22"/>
              <w:szCs w:val="22"/>
            </w:rPr>
            <w:t xml:space="preserve"> 9001:2008</w:t>
          </w:r>
          <w:r>
            <w:rPr>
              <w:rFonts w:ascii="Arial" w:hAnsi="Arial" w:cs="Arial"/>
              <w:b/>
              <w:sz w:val="22"/>
              <w:szCs w:val="22"/>
            </w:rPr>
            <w:t xml:space="preserve">   </w:t>
          </w:r>
          <w:r w:rsidR="006A15E8">
            <w:rPr>
              <w:rFonts w:ascii="Arial" w:hAnsi="Arial" w:cs="Arial"/>
              <w:b/>
              <w:sz w:val="22"/>
              <w:szCs w:val="22"/>
            </w:rPr>
            <w:t xml:space="preserve"> </w:t>
          </w:r>
          <w:r w:rsidR="001067E6">
            <w:rPr>
              <w:rFonts w:ascii="Arial" w:hAnsi="Arial" w:cs="Arial"/>
              <w:b/>
              <w:sz w:val="22"/>
              <w:szCs w:val="22"/>
            </w:rPr>
            <w:t xml:space="preserve">4.1, </w:t>
          </w:r>
          <w:r w:rsidR="006A15E8">
            <w:rPr>
              <w:rFonts w:ascii="Arial" w:hAnsi="Arial" w:cs="Arial"/>
              <w:b/>
              <w:sz w:val="22"/>
              <w:szCs w:val="22"/>
            </w:rPr>
            <w:t>4.2.2</w:t>
          </w:r>
        </w:p>
      </w:tc>
      <w:tc>
        <w:tcPr>
          <w:tcW w:w="3118" w:type="dxa"/>
          <w:vAlign w:val="center"/>
        </w:tcPr>
        <w:p w:rsidR="000D3E1D" w:rsidRDefault="000D3E1D">
          <w:pPr>
            <w:rPr>
              <w:rFonts w:ascii="Arial" w:hAnsi="Arial" w:cs="Arial"/>
              <w:b/>
              <w:sz w:val="22"/>
              <w:szCs w:val="22"/>
            </w:rPr>
          </w:pPr>
          <w:r>
            <w:rPr>
              <w:rFonts w:ascii="Arial" w:hAnsi="Arial" w:cs="Arial"/>
              <w:b/>
              <w:sz w:val="22"/>
              <w:szCs w:val="22"/>
            </w:rPr>
            <w:t xml:space="preserve">Página </w:t>
          </w:r>
          <w:r w:rsidR="00BB7311">
            <w:rPr>
              <w:rStyle w:val="Nmerodepgina"/>
              <w:rFonts w:ascii="Arial" w:hAnsi="Arial" w:cs="Arial"/>
              <w:b/>
              <w:sz w:val="22"/>
              <w:szCs w:val="22"/>
            </w:rPr>
            <w:fldChar w:fldCharType="begin"/>
          </w:r>
          <w:r>
            <w:rPr>
              <w:rStyle w:val="Nmerodepgina"/>
              <w:rFonts w:ascii="Arial" w:hAnsi="Arial" w:cs="Arial"/>
              <w:b/>
              <w:sz w:val="22"/>
              <w:szCs w:val="22"/>
            </w:rPr>
            <w:instrText xml:space="preserve"> PAGE </w:instrText>
          </w:r>
          <w:r w:rsidR="00BB7311">
            <w:rPr>
              <w:rStyle w:val="Nmerodepgina"/>
              <w:rFonts w:ascii="Arial" w:hAnsi="Arial" w:cs="Arial"/>
              <w:b/>
              <w:sz w:val="22"/>
              <w:szCs w:val="22"/>
            </w:rPr>
            <w:fldChar w:fldCharType="separate"/>
          </w:r>
          <w:r w:rsidR="002C7966">
            <w:rPr>
              <w:rStyle w:val="Nmerodepgina"/>
              <w:rFonts w:ascii="Arial" w:hAnsi="Arial" w:cs="Arial"/>
              <w:b/>
              <w:noProof/>
              <w:sz w:val="22"/>
              <w:szCs w:val="22"/>
            </w:rPr>
            <w:t>2</w:t>
          </w:r>
          <w:r w:rsidR="00BB7311">
            <w:rPr>
              <w:rStyle w:val="Nmerodepgina"/>
              <w:rFonts w:ascii="Arial" w:hAnsi="Arial" w:cs="Arial"/>
              <w:b/>
              <w:sz w:val="22"/>
              <w:szCs w:val="22"/>
            </w:rPr>
            <w:fldChar w:fldCharType="end"/>
          </w:r>
          <w:r>
            <w:rPr>
              <w:rFonts w:ascii="Arial" w:hAnsi="Arial" w:cs="Arial"/>
              <w:b/>
              <w:sz w:val="22"/>
              <w:szCs w:val="22"/>
            </w:rPr>
            <w:t xml:space="preserve"> de </w:t>
          </w:r>
          <w:r w:rsidR="00BB7311">
            <w:rPr>
              <w:rStyle w:val="Nmerodepgina"/>
              <w:rFonts w:ascii="Arial" w:hAnsi="Arial" w:cs="Arial"/>
              <w:b/>
              <w:sz w:val="22"/>
              <w:szCs w:val="22"/>
            </w:rPr>
            <w:fldChar w:fldCharType="begin"/>
          </w:r>
          <w:r>
            <w:rPr>
              <w:rStyle w:val="Nmerodepgina"/>
              <w:rFonts w:ascii="Arial" w:hAnsi="Arial" w:cs="Arial"/>
              <w:b/>
              <w:sz w:val="22"/>
              <w:szCs w:val="22"/>
            </w:rPr>
            <w:instrText xml:space="preserve"> NUMPAGES </w:instrText>
          </w:r>
          <w:r w:rsidR="00BB7311">
            <w:rPr>
              <w:rStyle w:val="Nmerodepgina"/>
              <w:rFonts w:ascii="Arial" w:hAnsi="Arial" w:cs="Arial"/>
              <w:b/>
              <w:sz w:val="22"/>
              <w:szCs w:val="22"/>
            </w:rPr>
            <w:fldChar w:fldCharType="separate"/>
          </w:r>
          <w:r w:rsidR="002C7966">
            <w:rPr>
              <w:rStyle w:val="Nmerodepgina"/>
              <w:rFonts w:ascii="Arial" w:hAnsi="Arial" w:cs="Arial"/>
              <w:b/>
              <w:noProof/>
              <w:sz w:val="22"/>
              <w:szCs w:val="22"/>
            </w:rPr>
            <w:t>8</w:t>
          </w:r>
          <w:r w:rsidR="00BB7311">
            <w:rPr>
              <w:rStyle w:val="Nmerodepgina"/>
              <w:rFonts w:ascii="Arial" w:hAnsi="Arial" w:cs="Arial"/>
              <w:b/>
              <w:sz w:val="22"/>
              <w:szCs w:val="22"/>
            </w:rPr>
            <w:fldChar w:fldCharType="end"/>
          </w:r>
        </w:p>
      </w:tc>
    </w:tr>
  </w:tbl>
  <w:p w:rsidR="000D3E1D" w:rsidRDefault="000D3E1D">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53E69"/>
    <w:multiLevelType w:val="hybridMultilevel"/>
    <w:tmpl w:val="33A0EC2C"/>
    <w:lvl w:ilvl="0" w:tplc="CA92D5D0">
      <w:start w:val="1"/>
      <w:numFmt w:val="bullet"/>
      <w:suff w:val="space"/>
      <w:lvlText w:val=""/>
      <w:lvlJc w:val="left"/>
      <w:pPr>
        <w:ind w:left="227" w:hanging="170"/>
      </w:pPr>
      <w:rPr>
        <w:rFonts w:ascii="Symbol" w:hAnsi="Symbol" w:hint="default"/>
      </w:rPr>
    </w:lvl>
    <w:lvl w:ilvl="1" w:tplc="080A0003" w:tentative="1">
      <w:start w:val="1"/>
      <w:numFmt w:val="bullet"/>
      <w:lvlText w:val="o"/>
      <w:lvlJc w:val="left"/>
      <w:pPr>
        <w:ind w:left="1383" w:hanging="360"/>
      </w:pPr>
      <w:rPr>
        <w:rFonts w:ascii="Courier New" w:hAnsi="Courier New" w:cs="Courier New" w:hint="default"/>
      </w:rPr>
    </w:lvl>
    <w:lvl w:ilvl="2" w:tplc="080A0005" w:tentative="1">
      <w:start w:val="1"/>
      <w:numFmt w:val="bullet"/>
      <w:lvlText w:val=""/>
      <w:lvlJc w:val="left"/>
      <w:pPr>
        <w:ind w:left="2103" w:hanging="360"/>
      </w:pPr>
      <w:rPr>
        <w:rFonts w:ascii="Wingdings" w:hAnsi="Wingdings" w:hint="default"/>
      </w:rPr>
    </w:lvl>
    <w:lvl w:ilvl="3" w:tplc="080A0001" w:tentative="1">
      <w:start w:val="1"/>
      <w:numFmt w:val="bullet"/>
      <w:lvlText w:val=""/>
      <w:lvlJc w:val="left"/>
      <w:pPr>
        <w:ind w:left="2823" w:hanging="360"/>
      </w:pPr>
      <w:rPr>
        <w:rFonts w:ascii="Symbol" w:hAnsi="Symbol" w:hint="default"/>
      </w:rPr>
    </w:lvl>
    <w:lvl w:ilvl="4" w:tplc="080A0003" w:tentative="1">
      <w:start w:val="1"/>
      <w:numFmt w:val="bullet"/>
      <w:lvlText w:val="o"/>
      <w:lvlJc w:val="left"/>
      <w:pPr>
        <w:ind w:left="3543" w:hanging="360"/>
      </w:pPr>
      <w:rPr>
        <w:rFonts w:ascii="Courier New" w:hAnsi="Courier New" w:cs="Courier New" w:hint="default"/>
      </w:rPr>
    </w:lvl>
    <w:lvl w:ilvl="5" w:tplc="080A0005" w:tentative="1">
      <w:start w:val="1"/>
      <w:numFmt w:val="bullet"/>
      <w:lvlText w:val=""/>
      <w:lvlJc w:val="left"/>
      <w:pPr>
        <w:ind w:left="4263" w:hanging="360"/>
      </w:pPr>
      <w:rPr>
        <w:rFonts w:ascii="Wingdings" w:hAnsi="Wingdings" w:hint="default"/>
      </w:rPr>
    </w:lvl>
    <w:lvl w:ilvl="6" w:tplc="080A0001" w:tentative="1">
      <w:start w:val="1"/>
      <w:numFmt w:val="bullet"/>
      <w:lvlText w:val=""/>
      <w:lvlJc w:val="left"/>
      <w:pPr>
        <w:ind w:left="4983" w:hanging="360"/>
      </w:pPr>
      <w:rPr>
        <w:rFonts w:ascii="Symbol" w:hAnsi="Symbol" w:hint="default"/>
      </w:rPr>
    </w:lvl>
    <w:lvl w:ilvl="7" w:tplc="080A0003" w:tentative="1">
      <w:start w:val="1"/>
      <w:numFmt w:val="bullet"/>
      <w:lvlText w:val="o"/>
      <w:lvlJc w:val="left"/>
      <w:pPr>
        <w:ind w:left="5703" w:hanging="360"/>
      </w:pPr>
      <w:rPr>
        <w:rFonts w:ascii="Courier New" w:hAnsi="Courier New" w:cs="Courier New" w:hint="default"/>
      </w:rPr>
    </w:lvl>
    <w:lvl w:ilvl="8" w:tplc="080A0005" w:tentative="1">
      <w:start w:val="1"/>
      <w:numFmt w:val="bullet"/>
      <w:lvlText w:val=""/>
      <w:lvlJc w:val="left"/>
      <w:pPr>
        <w:ind w:left="6423" w:hanging="360"/>
      </w:pPr>
      <w:rPr>
        <w:rFonts w:ascii="Wingdings" w:hAnsi="Wingdings" w:hint="default"/>
      </w:rPr>
    </w:lvl>
  </w:abstractNum>
  <w:abstractNum w:abstractNumId="1">
    <w:nsid w:val="0864130A"/>
    <w:multiLevelType w:val="hybridMultilevel"/>
    <w:tmpl w:val="2752C73E"/>
    <w:lvl w:ilvl="0" w:tplc="CA92D5D0">
      <w:start w:val="1"/>
      <w:numFmt w:val="bullet"/>
      <w:suff w:val="space"/>
      <w:lvlText w:val=""/>
      <w:lvlJc w:val="left"/>
      <w:pPr>
        <w:ind w:left="227" w:hanging="17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9E5EB0"/>
    <w:multiLevelType w:val="multilevel"/>
    <w:tmpl w:val="92BEE990"/>
    <w:lvl w:ilvl="0">
      <w:start w:val="1"/>
      <w:numFmt w:val="decimal"/>
      <w:lvlText w:val="%1."/>
      <w:lvlJc w:val="left"/>
      <w:pPr>
        <w:tabs>
          <w:tab w:val="num" w:pos="720"/>
        </w:tabs>
        <w:ind w:left="720" w:hanging="720"/>
      </w:pPr>
      <w:rPr>
        <w:rFonts w:ascii="Arial" w:hAnsi="Arial" w:hint="default"/>
        <w:b/>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F7D6E71"/>
    <w:multiLevelType w:val="multilevel"/>
    <w:tmpl w:val="D2FE02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7D1711E"/>
    <w:multiLevelType w:val="multilevel"/>
    <w:tmpl w:val="D2FE02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D087BD3"/>
    <w:multiLevelType w:val="multilevel"/>
    <w:tmpl w:val="92BEE990"/>
    <w:lvl w:ilvl="0">
      <w:start w:val="1"/>
      <w:numFmt w:val="decimal"/>
      <w:lvlText w:val="%1."/>
      <w:lvlJc w:val="left"/>
      <w:pPr>
        <w:tabs>
          <w:tab w:val="num" w:pos="720"/>
        </w:tabs>
        <w:ind w:left="720" w:hanging="720"/>
      </w:pPr>
      <w:rPr>
        <w:rFonts w:ascii="Arial" w:hAnsi="Arial" w:hint="default"/>
        <w:b/>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10D22A7"/>
    <w:multiLevelType w:val="hybridMultilevel"/>
    <w:tmpl w:val="1DBC070E"/>
    <w:lvl w:ilvl="0" w:tplc="CA92D5D0">
      <w:start w:val="1"/>
      <w:numFmt w:val="bullet"/>
      <w:suff w:val="space"/>
      <w:lvlText w:val=""/>
      <w:lvlJc w:val="left"/>
      <w:pPr>
        <w:ind w:left="227" w:hanging="17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0725358"/>
    <w:multiLevelType w:val="multilevel"/>
    <w:tmpl w:val="92BEE990"/>
    <w:lvl w:ilvl="0">
      <w:start w:val="1"/>
      <w:numFmt w:val="decimal"/>
      <w:lvlText w:val="%1."/>
      <w:lvlJc w:val="left"/>
      <w:pPr>
        <w:tabs>
          <w:tab w:val="num" w:pos="720"/>
        </w:tabs>
        <w:ind w:left="720" w:hanging="720"/>
      </w:pPr>
      <w:rPr>
        <w:rFonts w:ascii="Arial" w:hAnsi="Arial" w:hint="default"/>
        <w:b/>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2535F43"/>
    <w:multiLevelType w:val="multilevel"/>
    <w:tmpl w:val="92BEE990"/>
    <w:lvl w:ilvl="0">
      <w:start w:val="1"/>
      <w:numFmt w:val="decimal"/>
      <w:lvlText w:val="%1."/>
      <w:lvlJc w:val="left"/>
      <w:pPr>
        <w:tabs>
          <w:tab w:val="num" w:pos="720"/>
        </w:tabs>
        <w:ind w:left="720" w:hanging="720"/>
      </w:pPr>
      <w:rPr>
        <w:rFonts w:ascii="Arial" w:hAnsi="Arial" w:hint="default"/>
        <w:b/>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84416D"/>
    <w:multiLevelType w:val="multilevel"/>
    <w:tmpl w:val="D2FE02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84F69A0"/>
    <w:multiLevelType w:val="hybridMultilevel"/>
    <w:tmpl w:val="92BEE990"/>
    <w:lvl w:ilvl="0" w:tplc="411C5DBA">
      <w:start w:val="1"/>
      <w:numFmt w:val="decimal"/>
      <w:lvlText w:val="%1."/>
      <w:lvlJc w:val="left"/>
      <w:pPr>
        <w:tabs>
          <w:tab w:val="num" w:pos="720"/>
        </w:tabs>
        <w:ind w:left="720" w:hanging="720"/>
      </w:pPr>
      <w:rPr>
        <w:rFonts w:ascii="Arial" w:hAnsi="Arial" w:hint="default"/>
        <w:b/>
        <w:i w:val="0"/>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8EE39F2"/>
    <w:multiLevelType w:val="hybridMultilevel"/>
    <w:tmpl w:val="58FC3D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49D7761"/>
    <w:multiLevelType w:val="multilevel"/>
    <w:tmpl w:val="92BEE990"/>
    <w:lvl w:ilvl="0">
      <w:start w:val="1"/>
      <w:numFmt w:val="decimal"/>
      <w:lvlText w:val="%1."/>
      <w:lvlJc w:val="left"/>
      <w:pPr>
        <w:tabs>
          <w:tab w:val="num" w:pos="720"/>
        </w:tabs>
        <w:ind w:left="720" w:hanging="720"/>
      </w:pPr>
      <w:rPr>
        <w:rFonts w:ascii="Arial" w:hAnsi="Arial" w:hint="default"/>
        <w:b/>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487785A"/>
    <w:multiLevelType w:val="multilevel"/>
    <w:tmpl w:val="92BEE990"/>
    <w:lvl w:ilvl="0">
      <w:start w:val="1"/>
      <w:numFmt w:val="decimal"/>
      <w:lvlText w:val="%1."/>
      <w:lvlJc w:val="left"/>
      <w:pPr>
        <w:tabs>
          <w:tab w:val="num" w:pos="720"/>
        </w:tabs>
        <w:ind w:left="720" w:hanging="720"/>
      </w:pPr>
      <w:rPr>
        <w:rFonts w:ascii="Arial" w:hAnsi="Arial" w:hint="default"/>
        <w:b/>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9765E99"/>
    <w:multiLevelType w:val="hybridMultilevel"/>
    <w:tmpl w:val="BBCACF74"/>
    <w:lvl w:ilvl="0" w:tplc="C862CFF0">
      <w:start w:val="1"/>
      <w:numFmt w:val="bullet"/>
      <w:suff w:val="space"/>
      <w:lvlText w:val=""/>
      <w:lvlJc w:val="left"/>
      <w:pPr>
        <w:ind w:left="57" w:firstLine="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5">
    <w:nsid w:val="633A727F"/>
    <w:multiLevelType w:val="multilevel"/>
    <w:tmpl w:val="92BEE990"/>
    <w:lvl w:ilvl="0">
      <w:start w:val="1"/>
      <w:numFmt w:val="decimal"/>
      <w:lvlText w:val="%1."/>
      <w:lvlJc w:val="left"/>
      <w:pPr>
        <w:tabs>
          <w:tab w:val="num" w:pos="720"/>
        </w:tabs>
        <w:ind w:left="720" w:hanging="720"/>
      </w:pPr>
      <w:rPr>
        <w:rFonts w:ascii="Arial" w:hAnsi="Arial" w:hint="default"/>
        <w:b/>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3F32FC1"/>
    <w:multiLevelType w:val="multilevel"/>
    <w:tmpl w:val="92BEE990"/>
    <w:lvl w:ilvl="0">
      <w:start w:val="1"/>
      <w:numFmt w:val="decimal"/>
      <w:lvlText w:val="%1."/>
      <w:lvlJc w:val="left"/>
      <w:pPr>
        <w:tabs>
          <w:tab w:val="num" w:pos="720"/>
        </w:tabs>
        <w:ind w:left="720" w:hanging="720"/>
      </w:pPr>
      <w:rPr>
        <w:rFonts w:ascii="Arial" w:hAnsi="Arial" w:hint="default"/>
        <w:b/>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5BA6189"/>
    <w:multiLevelType w:val="multilevel"/>
    <w:tmpl w:val="92BEE990"/>
    <w:lvl w:ilvl="0">
      <w:start w:val="1"/>
      <w:numFmt w:val="decimal"/>
      <w:lvlText w:val="%1."/>
      <w:lvlJc w:val="left"/>
      <w:pPr>
        <w:tabs>
          <w:tab w:val="num" w:pos="720"/>
        </w:tabs>
        <w:ind w:left="720" w:hanging="720"/>
      </w:pPr>
      <w:rPr>
        <w:rFonts w:ascii="Arial" w:hAnsi="Arial" w:hint="default"/>
        <w:b/>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9"/>
  </w:num>
  <w:num w:numId="3">
    <w:abstractNumId w:val="3"/>
  </w:num>
  <w:num w:numId="4">
    <w:abstractNumId w:val="4"/>
  </w:num>
  <w:num w:numId="5">
    <w:abstractNumId w:val="13"/>
  </w:num>
  <w:num w:numId="6">
    <w:abstractNumId w:val="17"/>
  </w:num>
  <w:num w:numId="7">
    <w:abstractNumId w:val="5"/>
  </w:num>
  <w:num w:numId="8">
    <w:abstractNumId w:val="7"/>
  </w:num>
  <w:num w:numId="9">
    <w:abstractNumId w:val="16"/>
  </w:num>
  <w:num w:numId="10">
    <w:abstractNumId w:val="8"/>
  </w:num>
  <w:num w:numId="11">
    <w:abstractNumId w:val="12"/>
  </w:num>
  <w:num w:numId="12">
    <w:abstractNumId w:val="15"/>
  </w:num>
  <w:num w:numId="13">
    <w:abstractNumId w:val="2"/>
  </w:num>
  <w:num w:numId="14">
    <w:abstractNumId w:val="14"/>
  </w:num>
  <w:num w:numId="15">
    <w:abstractNumId w:val="11"/>
  </w:num>
  <w:num w:numId="16">
    <w:abstractNumId w:val="0"/>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BC4"/>
    <w:rsid w:val="00006AAA"/>
    <w:rsid w:val="0000763B"/>
    <w:rsid w:val="00051FE2"/>
    <w:rsid w:val="00065DD6"/>
    <w:rsid w:val="000C2C64"/>
    <w:rsid w:val="000D0AC9"/>
    <w:rsid w:val="000D3E1D"/>
    <w:rsid w:val="001067E6"/>
    <w:rsid w:val="00164E1F"/>
    <w:rsid w:val="00186B62"/>
    <w:rsid w:val="00191D5A"/>
    <w:rsid w:val="001A0DB0"/>
    <w:rsid w:val="001A701A"/>
    <w:rsid w:val="001B21BC"/>
    <w:rsid w:val="00220867"/>
    <w:rsid w:val="00221090"/>
    <w:rsid w:val="0024184F"/>
    <w:rsid w:val="00241C80"/>
    <w:rsid w:val="00247742"/>
    <w:rsid w:val="00265AC6"/>
    <w:rsid w:val="002A0318"/>
    <w:rsid w:val="002B23F3"/>
    <w:rsid w:val="002C2D09"/>
    <w:rsid w:val="002C44DB"/>
    <w:rsid w:val="002C7966"/>
    <w:rsid w:val="002D6DC5"/>
    <w:rsid w:val="002E59F2"/>
    <w:rsid w:val="0034356E"/>
    <w:rsid w:val="003A1FB9"/>
    <w:rsid w:val="003A4139"/>
    <w:rsid w:val="003B47A3"/>
    <w:rsid w:val="003B5731"/>
    <w:rsid w:val="003C49E0"/>
    <w:rsid w:val="00474926"/>
    <w:rsid w:val="0047584D"/>
    <w:rsid w:val="00485041"/>
    <w:rsid w:val="004D58C0"/>
    <w:rsid w:val="004E7D5E"/>
    <w:rsid w:val="004F37D4"/>
    <w:rsid w:val="004F426E"/>
    <w:rsid w:val="00504F09"/>
    <w:rsid w:val="0052219E"/>
    <w:rsid w:val="005254A2"/>
    <w:rsid w:val="005575CB"/>
    <w:rsid w:val="005A457E"/>
    <w:rsid w:val="005A4D36"/>
    <w:rsid w:val="005C6ABC"/>
    <w:rsid w:val="005F46B8"/>
    <w:rsid w:val="005F7CE0"/>
    <w:rsid w:val="00600E3E"/>
    <w:rsid w:val="0064652E"/>
    <w:rsid w:val="006A05D4"/>
    <w:rsid w:val="006A15E8"/>
    <w:rsid w:val="006E630A"/>
    <w:rsid w:val="006F34DD"/>
    <w:rsid w:val="006F5242"/>
    <w:rsid w:val="00716002"/>
    <w:rsid w:val="007163CD"/>
    <w:rsid w:val="00751564"/>
    <w:rsid w:val="00755255"/>
    <w:rsid w:val="00781883"/>
    <w:rsid w:val="007A5ACC"/>
    <w:rsid w:val="00803EB1"/>
    <w:rsid w:val="008626EC"/>
    <w:rsid w:val="008A799F"/>
    <w:rsid w:val="008C5F1E"/>
    <w:rsid w:val="008E0E07"/>
    <w:rsid w:val="00911D47"/>
    <w:rsid w:val="00914357"/>
    <w:rsid w:val="00922872"/>
    <w:rsid w:val="009509D0"/>
    <w:rsid w:val="009573D3"/>
    <w:rsid w:val="009B6215"/>
    <w:rsid w:val="009E41AF"/>
    <w:rsid w:val="009E686B"/>
    <w:rsid w:val="009E7962"/>
    <w:rsid w:val="009F0E60"/>
    <w:rsid w:val="00A472C3"/>
    <w:rsid w:val="00AE45A9"/>
    <w:rsid w:val="00B22058"/>
    <w:rsid w:val="00B40245"/>
    <w:rsid w:val="00B6179F"/>
    <w:rsid w:val="00B72DD4"/>
    <w:rsid w:val="00BB7311"/>
    <w:rsid w:val="00BF5183"/>
    <w:rsid w:val="00C91EAC"/>
    <w:rsid w:val="00CF3A05"/>
    <w:rsid w:val="00D154EA"/>
    <w:rsid w:val="00D21BB4"/>
    <w:rsid w:val="00D2732F"/>
    <w:rsid w:val="00D36748"/>
    <w:rsid w:val="00D62F3D"/>
    <w:rsid w:val="00DC16A2"/>
    <w:rsid w:val="00DC7136"/>
    <w:rsid w:val="00E24FE8"/>
    <w:rsid w:val="00E276CA"/>
    <w:rsid w:val="00E30467"/>
    <w:rsid w:val="00E43CB1"/>
    <w:rsid w:val="00E531D3"/>
    <w:rsid w:val="00EA1E11"/>
    <w:rsid w:val="00EA2872"/>
    <w:rsid w:val="00EC61EB"/>
    <w:rsid w:val="00EF08B4"/>
    <w:rsid w:val="00F07BC4"/>
    <w:rsid w:val="00F75AC1"/>
    <w:rsid w:val="00F776F7"/>
    <w:rsid w:val="00F92DA8"/>
    <w:rsid w:val="00FA732E"/>
    <w:rsid w:val="00FD2D9F"/>
    <w:rsid w:val="00FF0575"/>
    <w:rsid w:val="00FF43E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4F09"/>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04F09"/>
    <w:pPr>
      <w:tabs>
        <w:tab w:val="center" w:pos="4252"/>
        <w:tab w:val="right" w:pos="8504"/>
      </w:tabs>
    </w:pPr>
  </w:style>
  <w:style w:type="paragraph" w:styleId="Piedepgina">
    <w:name w:val="footer"/>
    <w:basedOn w:val="Normal"/>
    <w:link w:val="PiedepginaCar"/>
    <w:rsid w:val="00504F09"/>
    <w:pPr>
      <w:tabs>
        <w:tab w:val="center" w:pos="4252"/>
        <w:tab w:val="right" w:pos="8504"/>
      </w:tabs>
    </w:pPr>
  </w:style>
  <w:style w:type="character" w:customStyle="1" w:styleId="PiedepginaCar">
    <w:name w:val="Pie de página Car"/>
    <w:basedOn w:val="Fuentedeprrafopredeter"/>
    <w:link w:val="Piedepgina"/>
    <w:locked/>
    <w:rsid w:val="00504F09"/>
    <w:rPr>
      <w:sz w:val="24"/>
      <w:szCs w:val="24"/>
      <w:lang w:val="es-MX" w:eastAsia="es-ES" w:bidi="ar-SA"/>
    </w:rPr>
  </w:style>
  <w:style w:type="character" w:styleId="Nmerodepgina">
    <w:name w:val="page number"/>
    <w:basedOn w:val="Fuentedeprrafopredeter"/>
    <w:rsid w:val="00504F09"/>
  </w:style>
  <w:style w:type="table" w:styleId="Tablaconcuadrcula">
    <w:name w:val="Table Grid"/>
    <w:basedOn w:val="Tablanormal"/>
    <w:rsid w:val="00504F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A4D3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4F09"/>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04F09"/>
    <w:pPr>
      <w:tabs>
        <w:tab w:val="center" w:pos="4252"/>
        <w:tab w:val="right" w:pos="8504"/>
      </w:tabs>
    </w:pPr>
  </w:style>
  <w:style w:type="paragraph" w:styleId="Piedepgina">
    <w:name w:val="footer"/>
    <w:basedOn w:val="Normal"/>
    <w:link w:val="PiedepginaCar"/>
    <w:rsid w:val="00504F09"/>
    <w:pPr>
      <w:tabs>
        <w:tab w:val="center" w:pos="4252"/>
        <w:tab w:val="right" w:pos="8504"/>
      </w:tabs>
    </w:pPr>
  </w:style>
  <w:style w:type="character" w:customStyle="1" w:styleId="PiedepginaCar">
    <w:name w:val="Pie de página Car"/>
    <w:basedOn w:val="Fuentedeprrafopredeter"/>
    <w:link w:val="Piedepgina"/>
    <w:locked/>
    <w:rsid w:val="00504F09"/>
    <w:rPr>
      <w:sz w:val="24"/>
      <w:szCs w:val="24"/>
      <w:lang w:val="es-MX" w:eastAsia="es-ES" w:bidi="ar-SA"/>
    </w:rPr>
  </w:style>
  <w:style w:type="character" w:styleId="Nmerodepgina">
    <w:name w:val="page number"/>
    <w:basedOn w:val="Fuentedeprrafopredeter"/>
    <w:rsid w:val="00504F09"/>
  </w:style>
  <w:style w:type="table" w:styleId="Tablaconcuadrcula">
    <w:name w:val="Table Grid"/>
    <w:basedOn w:val="Tablanormal"/>
    <w:rsid w:val="00504F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A4D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78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2.emf"/><Relationship Id="rId11" Type="http://schemas.openxmlformats.org/officeDocument/2006/relationships/oleObject" Target="embeddings/oleObject2.bin"/><Relationship Id="rId12" Type="http://schemas.openxmlformats.org/officeDocument/2006/relationships/image" Target="media/image3.emf"/><Relationship Id="rId13" Type="http://schemas.openxmlformats.org/officeDocument/2006/relationships/oleObject" Target="embeddings/oleObject3.bin"/><Relationship Id="rId14" Type="http://schemas.openxmlformats.org/officeDocument/2006/relationships/image" Target="media/image4.emf"/><Relationship Id="rId15" Type="http://schemas.openxmlformats.org/officeDocument/2006/relationships/oleObject" Target="embeddings/oleObject4.bin"/><Relationship Id="rId16" Type="http://schemas.openxmlformats.org/officeDocument/2006/relationships/image" Target="media/image5.emf"/><Relationship Id="rId17" Type="http://schemas.openxmlformats.org/officeDocument/2006/relationships/oleObject" Target="embeddings/oleObject5.bin"/><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1643</Words>
  <Characters>9037</Characters>
  <Application>Microsoft Macintosh Word</Application>
  <DocSecurity>4</DocSecurity>
  <Lines>75</Lines>
  <Paragraphs>21</Paragraphs>
  <ScaleCrop>false</ScaleCrop>
  <HeadingPairs>
    <vt:vector size="2" baseType="variant">
      <vt:variant>
        <vt:lpstr>Título</vt:lpstr>
      </vt:variant>
      <vt:variant>
        <vt:i4>1</vt:i4>
      </vt:variant>
    </vt:vector>
  </HeadingPairs>
  <TitlesOfParts>
    <vt:vector size="1" baseType="lpstr">
      <vt:lpstr>Nivel de</vt:lpstr>
    </vt:vector>
  </TitlesOfParts>
  <Company>SECRETARIA DE EDUCACION PUBLICA</Company>
  <LinksUpToDate>false</LinksUpToDate>
  <CharactersWithSpaces>10659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Nivel de</dc:title>
  <dc:creator>SECRETARIA DE EDUCACION PUBLICA</dc:creator>
  <cp:lastModifiedBy>Tecnologico de Cancun</cp:lastModifiedBy>
  <cp:revision>2</cp:revision>
  <cp:lastPrinted>2011-08-08T21:40:00Z</cp:lastPrinted>
  <dcterms:created xsi:type="dcterms:W3CDTF">2018-10-11T19:51:00Z</dcterms:created>
  <dcterms:modified xsi:type="dcterms:W3CDTF">2018-10-11T19:51:00Z</dcterms:modified>
</cp:coreProperties>
</file>